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9C87C" w14:textId="77777777" w:rsidR="00E50DD0" w:rsidRDefault="00E50DD0" w:rsidP="00E50DD0">
      <w:pPr>
        <w:jc w:val="center"/>
        <w:rPr>
          <w:rFonts w:ascii="Times New Roman" w:hAnsi="Times New Roman"/>
          <w:sz w:val="24"/>
          <w:szCs w:val="22"/>
        </w:rPr>
      </w:pPr>
      <w:r>
        <w:rPr>
          <w:rFonts w:ascii="Times New Roman" w:hAnsi="Times New Roman"/>
          <w:sz w:val="24"/>
        </w:rPr>
        <w:t>SL</w:t>
      </w:r>
    </w:p>
    <w:p w14:paraId="6F8CF8C3" w14:textId="77777777" w:rsidR="00E50DD0" w:rsidRDefault="00E50DD0" w:rsidP="00E50DD0">
      <w:pPr>
        <w:rPr>
          <w:rFonts w:asciiTheme="minorHAnsi" w:hAnsiTheme="minorHAnsi"/>
          <w:sz w:val="22"/>
        </w:rPr>
      </w:pPr>
    </w:p>
    <w:p w14:paraId="590BC630" w14:textId="77777777" w:rsidR="00DD798A" w:rsidRPr="00037E7B" w:rsidRDefault="00DD798A" w:rsidP="00DD798A">
      <w:pPr>
        <w:jc w:val="center"/>
        <w:rPr>
          <w:rFonts w:ascii="Times New Roman" w:hAnsi="Times New Roman"/>
          <w:sz w:val="24"/>
        </w:rPr>
      </w:pPr>
      <w:r>
        <w:rPr>
          <w:rFonts w:ascii="Times New Roman" w:hAnsi="Times New Roman"/>
          <w:sz w:val="24"/>
        </w:rPr>
        <w:t>PRILOGA II</w:t>
      </w:r>
    </w:p>
    <w:p w14:paraId="33BF0F02" w14:textId="77777777" w:rsidR="00DD798A" w:rsidRPr="00037E7B" w:rsidRDefault="00DD798A" w:rsidP="00DD798A">
      <w:pPr>
        <w:jc w:val="center"/>
        <w:rPr>
          <w:rFonts w:ascii="Times New Roman" w:hAnsi="Times New Roman"/>
          <w:sz w:val="24"/>
        </w:rPr>
      </w:pPr>
      <w:r>
        <w:rPr>
          <w:rFonts w:ascii="Times New Roman" w:hAnsi="Times New Roman"/>
          <w:sz w:val="24"/>
        </w:rPr>
        <w:t>„PRILOGA II</w:t>
      </w:r>
    </w:p>
    <w:p w14:paraId="43AF84F6" w14:textId="77777777" w:rsidR="00DD798A" w:rsidRPr="00037E7B" w:rsidRDefault="00DD798A" w:rsidP="00DD798A">
      <w:pPr>
        <w:jc w:val="center"/>
        <w:rPr>
          <w:rFonts w:ascii="Times New Roman" w:hAnsi="Times New Roman"/>
          <w:b/>
          <w:sz w:val="24"/>
        </w:rPr>
      </w:pPr>
      <w:r>
        <w:rPr>
          <w:rFonts w:ascii="Times New Roman" w:hAnsi="Times New Roman"/>
          <w:b/>
          <w:sz w:val="24"/>
        </w:rPr>
        <w:t>NAVODILA ZA POROČANJE O KAPITALU IN KAPITALSKIH ZAHTEVAH</w:t>
      </w:r>
    </w:p>
    <w:p w14:paraId="6B9B322A" w14:textId="77777777" w:rsidR="00E26A90" w:rsidRDefault="00E26A90"/>
    <w:p w14:paraId="2A45E9E8" w14:textId="77777777" w:rsidR="00A931D0" w:rsidRDefault="00A931D0" w:rsidP="00A931D0">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DEL II: NAVODILA V ZVEZI S PREDLOGAMI</w:t>
      </w:r>
    </w:p>
    <w:p w14:paraId="572B21DA" w14:textId="77777777" w:rsidR="00A931D0" w:rsidRDefault="00A931D0" w:rsidP="00A931D0">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2CBE875B" w14:textId="77777777" w:rsidR="00A931D0" w:rsidRPr="00736637" w:rsidRDefault="00A931D0" w:rsidP="00A931D0">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7289C48A" w14:textId="77777777" w:rsidR="00A931D0" w:rsidRDefault="00A931D0"/>
    <w:p w14:paraId="7D324BFC"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C 09.01 – Geografska razčlenitev izpostavljenosti glede na sedež dolžnika: IZPOSTAVLJENOSTI NA PODLAGI STANDARDIZIRANEGA PRISTOPA (CR GB 1)</w:t>
      </w:r>
    </w:p>
    <w:p w14:paraId="0D9A10C4"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0" w:name="_Toc360188363"/>
      <w:bookmarkStart w:id="1" w:name="_Toc473560914"/>
      <w:bookmarkStart w:id="2" w:name="_Toc151714418"/>
      <w:r>
        <w:rPr>
          <w:rFonts w:ascii="Times New Roman" w:hAnsi="Times New Roman"/>
          <w:sz w:val="24"/>
          <w:u w:val="none"/>
        </w:rPr>
        <w:t>3.4.1.1</w:t>
      </w:r>
      <w:r>
        <w:tab/>
      </w:r>
      <w:r>
        <w:rPr>
          <w:rFonts w:ascii="Times New Roman" w:hAnsi="Times New Roman"/>
          <w:sz w:val="24"/>
        </w:rPr>
        <w:t>Navodila za posamezne pozicije</w:t>
      </w:r>
      <w:bookmarkEnd w:id="0"/>
      <w:bookmarkEnd w:id="1"/>
      <w:bookmarkEnd w:id="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D6580" w:rsidRPr="002A677E" w14:paraId="127D8EEC" w14:textId="77777777" w:rsidTr="00822842">
        <w:trPr>
          <w:trHeight w:val="581"/>
        </w:trPr>
        <w:tc>
          <w:tcPr>
            <w:tcW w:w="9828" w:type="dxa"/>
            <w:gridSpan w:val="2"/>
            <w:shd w:val="clear" w:color="auto" w:fill="CCCCCC"/>
          </w:tcPr>
          <w:p w14:paraId="6A81D963" w14:textId="77777777" w:rsidR="009D6580" w:rsidRPr="001235ED" w:rsidRDefault="009D6580" w:rsidP="00822842">
            <w:pPr>
              <w:spacing w:after="0"/>
              <w:rPr>
                <w:rStyle w:val="InstructionsTabelleText"/>
                <w:rFonts w:ascii="Times New Roman" w:hAnsi="Times New Roman"/>
                <w:b/>
                <w:sz w:val="24"/>
              </w:rPr>
            </w:pPr>
            <w:r>
              <w:rPr>
                <w:rStyle w:val="InstructionsTabelleText"/>
                <w:rFonts w:ascii="Times New Roman" w:hAnsi="Times New Roman"/>
                <w:b/>
                <w:sz w:val="24"/>
              </w:rPr>
              <w:t>Stolpci</w:t>
            </w:r>
          </w:p>
        </w:tc>
      </w:tr>
      <w:tr w:rsidR="009D6580" w:rsidRPr="002A677E" w14:paraId="08CE2FB2" w14:textId="77777777" w:rsidTr="00822842">
        <w:tc>
          <w:tcPr>
            <w:tcW w:w="1188" w:type="dxa"/>
          </w:tcPr>
          <w:p w14:paraId="75E0B30C"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4841BFD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ORIGINALNA IZPOSTAVLJENOST PRED UPORABO KONVERZIJSKIH FAKTORJEV</w:t>
            </w:r>
          </w:p>
          <w:p w14:paraId="1D6A0F00" w14:textId="77777777" w:rsidR="009D6580" w:rsidRPr="002A677E" w:rsidRDefault="009D6580" w:rsidP="00822842">
            <w:pPr>
              <w:rPr>
                <w:rFonts w:ascii="Times New Roman" w:hAnsi="Times New Roman"/>
                <w:sz w:val="24"/>
              </w:rPr>
            </w:pPr>
            <w:r>
              <w:rPr>
                <w:rFonts w:ascii="Times New Roman" w:hAnsi="Times New Roman"/>
                <w:sz w:val="24"/>
              </w:rPr>
              <w:t>Enaka opredelitev kot za stolpec 0010 predloge CR SA.</w:t>
            </w:r>
          </w:p>
        </w:tc>
      </w:tr>
      <w:tr w:rsidR="009D6580" w:rsidRPr="002A677E" w14:paraId="5F923D3B" w14:textId="77777777" w:rsidTr="00822842">
        <w:tc>
          <w:tcPr>
            <w:tcW w:w="1188" w:type="dxa"/>
          </w:tcPr>
          <w:p w14:paraId="69087815"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640" w:type="dxa"/>
          </w:tcPr>
          <w:p w14:paraId="04F3B53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Neplačane izpostavljenosti</w:t>
            </w:r>
          </w:p>
          <w:p w14:paraId="147BD4ED" w14:textId="29FBEBE8"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Originalna izpostavljenost pred uporabo konverzijskih faktorjev za tiste izpostavljenosti, ki so bile razvrščene kot „neplačane izpostavljenosti“, za neplačane izpostavljenosti, dodeljene v kategorijo izpostavljenosti „izpostavljenosti iz naslova lastniških instrumentov“, in za neplačane izpostavljenosti, dodeljene v kategorijo izpostavljenosti „izpostavljenosti v obliki enot ali deležev v kolektivnih naložbenih podjemih (KNP)“.</w:t>
            </w:r>
          </w:p>
          <w:p w14:paraId="6DA448AF"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 xml:space="preserve">V tej „pojasnjevalni postavki“ so zagotovljene dodatne informacije o dolžnikovi strukturi neplačanih izpostavljenosti. Izpostavljenosti, razvrščene kot „neplačane izpostavljenosti“ iz člena 112, točka (j), </w:t>
            </w:r>
            <w:r>
              <w:rPr>
                <w:rFonts w:ascii="Times New Roman" w:hAnsi="Times New Roman"/>
                <w:sz w:val="24"/>
              </w:rPr>
              <w:t>Uredbe (EU) št. 575/2013</w:t>
            </w:r>
            <w:r>
              <w:rPr>
                <w:rStyle w:val="InstructionsTabelleText"/>
                <w:rFonts w:ascii="Times New Roman" w:hAnsi="Times New Roman"/>
                <w:sz w:val="24"/>
              </w:rPr>
              <w:t>, se poročajo, kadar bi se dolžniki</w:t>
            </w:r>
            <w:r>
              <w:t xml:space="preserve"> </w:t>
            </w:r>
            <w:r>
              <w:rPr>
                <w:rStyle w:val="InstructionsTabelleText"/>
                <w:rFonts w:ascii="Times New Roman" w:hAnsi="Times New Roman"/>
                <w:sz w:val="24"/>
              </w:rPr>
              <w:t xml:space="preserve">poročali, če te izpostavljenosti ne bi bile razvrščene v kategorijo „neplačane izpostavljenosti“. </w:t>
            </w:r>
          </w:p>
          <w:p w14:paraId="52855171" w14:textId="65C7A920" w:rsidR="009D6580" w:rsidRPr="002A677E" w:rsidRDefault="00123FDD" w:rsidP="00822842">
            <w:pPr>
              <w:rPr>
                <w:rFonts w:ascii="Times New Roman" w:hAnsi="Times New Roman"/>
                <w:sz w:val="24"/>
              </w:rPr>
            </w:pPr>
            <w:r>
              <w:rPr>
                <w:rStyle w:val="InstructionsTabelleText"/>
                <w:rFonts w:ascii="Times New Roman" w:hAnsi="Times New Roman"/>
                <w:sz w:val="24"/>
              </w:rPr>
              <w:t xml:space="preserve">Ta informacija je „pojasnjevalna postavka“, zato ne vpliva na izračun zneskov tveganju prilagojenih izpostavljenosti iz kategorij izpostavljenosti „neplačane izpostavljenosti“, „izpostavljenosti iz naslova lastniških instrumentov“ ali „izpostavljenosti v obliki enot ali deležev v kolektivnih naložbenih podjemih (KNP)“ iz člena 112, točke (j), (p) in (o), </w:t>
            </w:r>
            <w:r>
              <w:rPr>
                <w:rFonts w:ascii="Times New Roman" w:hAnsi="Times New Roman"/>
                <w:sz w:val="24"/>
              </w:rPr>
              <w:t>Uredbe (EU) št. 575/2013</w:t>
            </w:r>
            <w:r>
              <w:rPr>
                <w:rStyle w:val="InstructionsTabelleText"/>
                <w:rFonts w:ascii="Times New Roman" w:hAnsi="Times New Roman"/>
                <w:sz w:val="24"/>
              </w:rPr>
              <w:t>.</w:t>
            </w:r>
          </w:p>
        </w:tc>
      </w:tr>
      <w:tr w:rsidR="009D6580" w:rsidRPr="002A677E" w14:paraId="12737C01" w14:textId="77777777" w:rsidTr="00822842">
        <w:tc>
          <w:tcPr>
            <w:tcW w:w="1188" w:type="dxa"/>
          </w:tcPr>
          <w:p w14:paraId="0843F0D4"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640" w:type="dxa"/>
          </w:tcPr>
          <w:p w14:paraId="317ABA2D"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Ugotovljena nova neplačila za obdobje</w:t>
            </w:r>
          </w:p>
          <w:p w14:paraId="4C451CE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Znesek originalnih izpostavljenosti, ki so prešle v kategorijo izpostavljenosti „Neplačane izpostavljenosti“ v trimesečnem obdobju od zadnjega referenčnega datuma poročanja, se poroča v okviru kategorije izpostavljenosti, ki ji je prvotno pripadal dolžnik.</w:t>
            </w:r>
          </w:p>
        </w:tc>
      </w:tr>
      <w:tr w:rsidR="009D6580" w:rsidRPr="002A677E" w14:paraId="59173FA8" w14:textId="77777777" w:rsidTr="00822842">
        <w:tc>
          <w:tcPr>
            <w:tcW w:w="1188" w:type="dxa"/>
          </w:tcPr>
          <w:p w14:paraId="7368E5E9" w14:textId="77777777" w:rsidR="009D6580" w:rsidRPr="002A677E" w:rsidRDefault="009D6580" w:rsidP="00822842">
            <w:pPr>
              <w:rPr>
                <w:rFonts w:ascii="Times New Roman" w:hAnsi="Times New Roman"/>
                <w:sz w:val="24"/>
              </w:rPr>
            </w:pPr>
            <w:r>
              <w:rPr>
                <w:rFonts w:ascii="Times New Roman" w:hAnsi="Times New Roman"/>
                <w:sz w:val="24"/>
              </w:rPr>
              <w:lastRenderedPageBreak/>
              <w:t>0050</w:t>
            </w:r>
          </w:p>
        </w:tc>
        <w:tc>
          <w:tcPr>
            <w:tcW w:w="8640" w:type="dxa"/>
          </w:tcPr>
          <w:p w14:paraId="1A491AA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Splošni popravki zaradi kreditnega tveganja</w:t>
            </w:r>
          </w:p>
          <w:p w14:paraId="019027A7" w14:textId="77777777" w:rsidR="009D6580" w:rsidRPr="002A677E" w:rsidRDefault="009D6580" w:rsidP="00822842">
            <w:pPr>
              <w:rPr>
                <w:rFonts w:ascii="Times New Roman" w:hAnsi="Times New Roman"/>
                <w:sz w:val="24"/>
              </w:rPr>
            </w:pPr>
            <w:r>
              <w:rPr>
                <w:rFonts w:ascii="Times New Roman" w:hAnsi="Times New Roman"/>
                <w:sz w:val="24"/>
              </w:rPr>
              <w:t xml:space="preserve">Popravki zaradi kreditnega tveganja iz člena 110 Uredbe (EU) št. 575/2013 in Uredbe (EU) št. 183/2014. </w:t>
            </w:r>
          </w:p>
          <w:p w14:paraId="124DE0E0" w14:textId="77777777" w:rsidR="009D6580" w:rsidRPr="002A677E" w:rsidRDefault="009D6580" w:rsidP="00822842">
            <w:pPr>
              <w:rPr>
                <w:rFonts w:ascii="Times New Roman" w:hAnsi="Times New Roman"/>
                <w:sz w:val="24"/>
              </w:rPr>
            </w:pPr>
            <w:r>
              <w:rPr>
                <w:rFonts w:ascii="Times New Roman" w:hAnsi="Times New Roman"/>
                <w:sz w:val="24"/>
              </w:rPr>
              <w:t>Ta postavka vključuje splošne popravke zaradi kreditnega tveganja, ki so sprejemljivi za vključitev v dodatni kapital, pred uporabo zgornje meje iz člena 62, točka (c), Uredbe (EU) št. 575/2013.</w:t>
            </w:r>
          </w:p>
          <w:p w14:paraId="50B8B57C" w14:textId="77777777" w:rsidR="009D6580" w:rsidRPr="002A677E" w:rsidRDefault="009D6580" w:rsidP="00822842">
            <w:pPr>
              <w:rPr>
                <w:rFonts w:ascii="Times New Roman" w:hAnsi="Times New Roman"/>
                <w:b/>
                <w:sz w:val="24"/>
                <w:u w:val="single"/>
              </w:rPr>
            </w:pPr>
            <w:r>
              <w:rPr>
                <w:rFonts w:ascii="Times New Roman" w:hAnsi="Times New Roman"/>
                <w:sz w:val="24"/>
              </w:rPr>
              <w:t>V znesku, ki se poroča, so upoštevani davčni učinki.</w:t>
            </w:r>
          </w:p>
        </w:tc>
      </w:tr>
      <w:tr w:rsidR="009D6580" w:rsidRPr="002A677E" w14:paraId="18048AF8" w14:textId="77777777" w:rsidTr="00822842">
        <w:tc>
          <w:tcPr>
            <w:tcW w:w="1188" w:type="dxa"/>
          </w:tcPr>
          <w:p w14:paraId="6BF1FDE0" w14:textId="77777777" w:rsidR="009D6580" w:rsidRPr="002A677E" w:rsidRDefault="009D6580" w:rsidP="00822842">
            <w:pPr>
              <w:rPr>
                <w:rFonts w:ascii="Times New Roman" w:hAnsi="Times New Roman"/>
                <w:sz w:val="24"/>
              </w:rPr>
            </w:pPr>
            <w:r>
              <w:rPr>
                <w:rFonts w:ascii="Times New Roman" w:hAnsi="Times New Roman"/>
                <w:sz w:val="24"/>
              </w:rPr>
              <w:t>0055</w:t>
            </w:r>
          </w:p>
        </w:tc>
        <w:tc>
          <w:tcPr>
            <w:tcW w:w="8640" w:type="dxa"/>
          </w:tcPr>
          <w:p w14:paraId="3DA55F2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Posebni popravki zaradi kreditnega tveganja</w:t>
            </w:r>
          </w:p>
          <w:p w14:paraId="0C4040D9" w14:textId="77777777" w:rsidR="009D6580" w:rsidRPr="002A677E" w:rsidRDefault="009D6580" w:rsidP="00822842">
            <w:pPr>
              <w:rPr>
                <w:rFonts w:ascii="Times New Roman" w:hAnsi="Times New Roman"/>
                <w:b/>
                <w:sz w:val="24"/>
                <w:u w:val="single"/>
              </w:rPr>
            </w:pPr>
            <w:r>
              <w:rPr>
                <w:rFonts w:ascii="Times New Roman" w:hAnsi="Times New Roman"/>
                <w:sz w:val="24"/>
              </w:rPr>
              <w:t>Popravki zaradi kreditnega tveganja iz člena 110 Uredbe (EU) št. 575/2013 in Uredbe (EU) št. 183/2014.</w:t>
            </w:r>
          </w:p>
        </w:tc>
      </w:tr>
      <w:tr w:rsidR="009D6580" w:rsidRPr="002A677E" w14:paraId="1433D694" w14:textId="77777777" w:rsidTr="00822842">
        <w:tc>
          <w:tcPr>
            <w:tcW w:w="1188" w:type="dxa"/>
          </w:tcPr>
          <w:p w14:paraId="0154002C"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0E9754A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Odpisi</w:t>
            </w:r>
          </w:p>
          <w:p w14:paraId="5E984FA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Odpisi, kot so navedeni v 5.4.4. in B5.4.9. členu MSRP 9.</w:t>
            </w:r>
          </w:p>
        </w:tc>
      </w:tr>
      <w:tr w:rsidR="009D6580" w:rsidRPr="002A677E" w14:paraId="1CFA94CF" w14:textId="77777777" w:rsidTr="00822842">
        <w:tc>
          <w:tcPr>
            <w:tcW w:w="1188" w:type="dxa"/>
          </w:tcPr>
          <w:p w14:paraId="23BBA9F5" w14:textId="77777777" w:rsidR="009D6580" w:rsidRPr="002A677E" w:rsidRDefault="009D6580" w:rsidP="00822842">
            <w:pPr>
              <w:rPr>
                <w:rFonts w:ascii="Times New Roman" w:hAnsi="Times New Roman"/>
                <w:sz w:val="24"/>
              </w:rPr>
            </w:pPr>
            <w:r>
              <w:rPr>
                <w:rFonts w:ascii="Times New Roman" w:hAnsi="Times New Roman"/>
                <w:sz w:val="24"/>
              </w:rPr>
              <w:t>0061</w:t>
            </w:r>
          </w:p>
        </w:tc>
        <w:tc>
          <w:tcPr>
            <w:tcW w:w="8640" w:type="dxa"/>
          </w:tcPr>
          <w:p w14:paraId="7173ECB3"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Dodatne prilagoditve vrednosti in druga zmanjšanja kapitala</w:t>
            </w:r>
          </w:p>
          <w:p w14:paraId="074C80EC" w14:textId="77777777" w:rsidR="009D6580" w:rsidRPr="002A677E" w:rsidRDefault="009D6580" w:rsidP="00822842">
            <w:pPr>
              <w:rPr>
                <w:rFonts w:ascii="Times New Roman" w:hAnsi="Times New Roman"/>
                <w:b/>
                <w:sz w:val="24"/>
                <w:u w:val="single"/>
              </w:rPr>
            </w:pPr>
            <w:r>
              <w:rPr>
                <w:rFonts w:ascii="Times New Roman" w:hAnsi="Times New Roman"/>
                <w:sz w:val="24"/>
              </w:rPr>
              <w:t>V skladu s členom 111 Uredbe (EU) št. 575/2013.</w:t>
            </w:r>
          </w:p>
        </w:tc>
      </w:tr>
      <w:tr w:rsidR="009D6580" w:rsidRPr="002A677E" w14:paraId="2939F77F" w14:textId="77777777" w:rsidTr="00822842">
        <w:tc>
          <w:tcPr>
            <w:tcW w:w="1188" w:type="dxa"/>
          </w:tcPr>
          <w:p w14:paraId="542B9015"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2643490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Popravki zaradi kreditnega tveganja/odpisi za ugotovljena nova neplačila</w:t>
            </w:r>
          </w:p>
          <w:p w14:paraId="7E554B6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Vsota popravkov zaradi kreditnega tveganja in odpisov za izpostavljenosti, ki so bile razvrščene kot „neplačane izpostavljenosti“ v trimesečnem obdobju od zadnje predložitve podatkov.</w:t>
            </w:r>
          </w:p>
        </w:tc>
      </w:tr>
      <w:tr w:rsidR="009D6580" w:rsidRPr="002A677E" w14:paraId="2CA30DE3" w14:textId="77777777" w:rsidTr="00822842">
        <w:tc>
          <w:tcPr>
            <w:tcW w:w="1188" w:type="dxa"/>
          </w:tcPr>
          <w:p w14:paraId="2FD89795" w14:textId="77777777" w:rsidR="009D6580" w:rsidRPr="002A677E" w:rsidRDefault="009D6580" w:rsidP="00822842">
            <w:pPr>
              <w:rPr>
                <w:rFonts w:ascii="Times New Roman" w:hAnsi="Times New Roman"/>
                <w:sz w:val="24"/>
              </w:rPr>
            </w:pPr>
            <w:r>
              <w:rPr>
                <w:rFonts w:ascii="Times New Roman" w:hAnsi="Times New Roman"/>
                <w:sz w:val="24"/>
              </w:rPr>
              <w:t>0075</w:t>
            </w:r>
          </w:p>
        </w:tc>
        <w:tc>
          <w:tcPr>
            <w:tcW w:w="8640" w:type="dxa"/>
          </w:tcPr>
          <w:p w14:paraId="233BFDC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Vrednost izpostavljenosti</w:t>
            </w:r>
          </w:p>
          <w:p w14:paraId="4F849709"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Enaka opredelitev kot za stolpec 0200 predloge CR SA.</w:t>
            </w:r>
          </w:p>
        </w:tc>
      </w:tr>
      <w:tr w:rsidR="009D6580" w:rsidRPr="002A677E" w14:paraId="09BD9174" w14:textId="77777777" w:rsidTr="00822842">
        <w:tc>
          <w:tcPr>
            <w:tcW w:w="1188" w:type="dxa"/>
          </w:tcPr>
          <w:p w14:paraId="06587A3C"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0B560F31" w14:textId="46CDE534" w:rsidR="009D6580" w:rsidRPr="002A677E" w:rsidRDefault="009D6580" w:rsidP="00822842">
            <w:pPr>
              <w:rPr>
                <w:rFonts w:ascii="Times New Roman" w:hAnsi="Times New Roman"/>
                <w:b/>
                <w:sz w:val="24"/>
                <w:u w:val="single"/>
              </w:rPr>
            </w:pPr>
            <w:r>
              <w:rPr>
                <w:rFonts w:ascii="Times New Roman" w:hAnsi="Times New Roman"/>
                <w:b/>
                <w:sz w:val="24"/>
                <w:u w:val="single"/>
              </w:rPr>
              <w:t>ZNESEK TVEGANJU PRILAGOJENIH IZPOSTAVLJENOSTI PRED UPORABO FAKTORJEV ZA PODPORO IN PRED UPOŠTEVANJEM VALUTNE NEUSKLAJENOSTI</w:t>
            </w:r>
          </w:p>
          <w:p w14:paraId="7F917189" w14:textId="77777777" w:rsidR="009D6580" w:rsidRPr="002A677E" w:rsidRDefault="009D6580" w:rsidP="00822842">
            <w:pPr>
              <w:rPr>
                <w:rFonts w:ascii="Times New Roman" w:hAnsi="Times New Roman"/>
                <w:b/>
                <w:sz w:val="24"/>
                <w:u w:val="single"/>
              </w:rPr>
            </w:pPr>
            <w:r>
              <w:rPr>
                <w:rFonts w:ascii="Times New Roman" w:hAnsi="Times New Roman"/>
                <w:sz w:val="24"/>
              </w:rPr>
              <w:t>Enaka opredelitev kot za stolpec 0215 predloge CR SA.</w:t>
            </w:r>
          </w:p>
        </w:tc>
      </w:tr>
      <w:tr w:rsidR="009D6580" w:rsidRPr="002A677E" w14:paraId="172392A5" w14:textId="77777777" w:rsidTr="00822842">
        <w:tc>
          <w:tcPr>
            <w:tcW w:w="1188" w:type="dxa"/>
          </w:tcPr>
          <w:p w14:paraId="4881CC35" w14:textId="77777777" w:rsidR="009D6580" w:rsidRPr="002A677E" w:rsidRDefault="009D6580" w:rsidP="00822842">
            <w:pPr>
              <w:rPr>
                <w:rFonts w:ascii="Times New Roman" w:hAnsi="Times New Roman"/>
                <w:sz w:val="24"/>
              </w:rPr>
            </w:pPr>
            <w:r>
              <w:rPr>
                <w:rFonts w:ascii="Times New Roman" w:hAnsi="Times New Roman"/>
                <w:sz w:val="24"/>
              </w:rPr>
              <w:t>0081</w:t>
            </w:r>
          </w:p>
        </w:tc>
        <w:tc>
          <w:tcPr>
            <w:tcW w:w="8640" w:type="dxa"/>
          </w:tcPr>
          <w:p w14:paraId="3683E884" w14:textId="77777777" w:rsidR="009D6580" w:rsidRPr="002A677E" w:rsidRDefault="009D6580" w:rsidP="00822842">
            <w:pPr>
              <w:rPr>
                <w:rStyle w:val="InstructionsTabelleberschrift"/>
                <w:rFonts w:ascii="Times New Roman" w:hAnsi="Times New Roman"/>
                <w:sz w:val="32"/>
              </w:rPr>
            </w:pPr>
            <w:r>
              <w:rPr>
                <w:rStyle w:val="InstructionsTabelleberschrift"/>
                <w:rFonts w:ascii="Times New Roman" w:hAnsi="Times New Roman"/>
                <w:sz w:val="24"/>
              </w:rPr>
              <w:t>(–) PRILAGODITEV ZNESKA TVEGANJU PRILAGOJENIH IZPOSTAVLJENOSTI ZARADI FAKTORJA ZA PODPORO MSP</w:t>
            </w:r>
          </w:p>
          <w:p w14:paraId="7D7BF2EE" w14:textId="77777777" w:rsidR="009D6580" w:rsidRPr="002A677E" w:rsidRDefault="009D6580" w:rsidP="00822842">
            <w:pPr>
              <w:rPr>
                <w:rFonts w:ascii="Times New Roman" w:hAnsi="Times New Roman"/>
                <w:b/>
                <w:sz w:val="24"/>
                <w:u w:val="single"/>
              </w:rPr>
            </w:pPr>
            <w:r>
              <w:rPr>
                <w:rFonts w:ascii="Times New Roman" w:hAnsi="Times New Roman"/>
                <w:sz w:val="24"/>
              </w:rPr>
              <w:t>Enaka opredelitev kot za stolpec 0216 predloge CR SA.</w:t>
            </w:r>
          </w:p>
        </w:tc>
      </w:tr>
      <w:tr w:rsidR="009D6580" w:rsidRPr="002A677E" w14:paraId="7C7A5C85" w14:textId="77777777" w:rsidTr="00822842">
        <w:tc>
          <w:tcPr>
            <w:tcW w:w="1188" w:type="dxa"/>
          </w:tcPr>
          <w:p w14:paraId="4ABD72EC" w14:textId="77777777" w:rsidR="009D6580" w:rsidRPr="002A677E" w:rsidRDefault="009D6580" w:rsidP="00822842">
            <w:pPr>
              <w:rPr>
                <w:rFonts w:ascii="Times New Roman" w:hAnsi="Times New Roman"/>
                <w:sz w:val="24"/>
              </w:rPr>
            </w:pPr>
            <w:r>
              <w:rPr>
                <w:rFonts w:ascii="Times New Roman" w:hAnsi="Times New Roman"/>
                <w:sz w:val="24"/>
              </w:rPr>
              <w:t>0082</w:t>
            </w:r>
          </w:p>
        </w:tc>
        <w:tc>
          <w:tcPr>
            <w:tcW w:w="8640" w:type="dxa"/>
          </w:tcPr>
          <w:p w14:paraId="60EE9D4D" w14:textId="77777777" w:rsidR="009D6580" w:rsidRPr="002A677E" w:rsidRDefault="009D6580" w:rsidP="00822842">
            <w:pPr>
              <w:rPr>
                <w:rStyle w:val="InstructionsTabelleberschrift"/>
                <w:rFonts w:ascii="Times New Roman" w:hAnsi="Times New Roman"/>
                <w:sz w:val="32"/>
              </w:rPr>
            </w:pPr>
            <w:r>
              <w:rPr>
                <w:rStyle w:val="InstructionsTabelleberschrift"/>
                <w:rFonts w:ascii="Times New Roman" w:hAnsi="Times New Roman"/>
                <w:sz w:val="24"/>
              </w:rPr>
              <w:t>(–) PRILAGODITEV ZNESKA TVEGANJU PRILAGOJENIH IZPOSTAVLJENOSTI ZARADI FAKTORJA ZA PODPORO INFRASTRUKTURNIM PROJEKTOM</w:t>
            </w:r>
          </w:p>
          <w:p w14:paraId="3D157D72" w14:textId="77777777" w:rsidR="009D6580" w:rsidRPr="002A677E" w:rsidRDefault="009D6580" w:rsidP="00822842">
            <w:pPr>
              <w:rPr>
                <w:rFonts w:ascii="Times New Roman" w:hAnsi="Times New Roman"/>
                <w:b/>
                <w:sz w:val="24"/>
                <w:u w:val="single"/>
              </w:rPr>
            </w:pPr>
            <w:r>
              <w:rPr>
                <w:rFonts w:ascii="Times New Roman" w:hAnsi="Times New Roman"/>
                <w:sz w:val="24"/>
              </w:rPr>
              <w:t>Enaka opredelitev kot za stolpec 0217 predloge CR SA.</w:t>
            </w:r>
          </w:p>
        </w:tc>
      </w:tr>
      <w:tr w:rsidR="009D6580" w:rsidRPr="002A677E" w14:paraId="2271C08F" w14:textId="77777777" w:rsidTr="00822842">
        <w:tc>
          <w:tcPr>
            <w:tcW w:w="1188" w:type="dxa"/>
          </w:tcPr>
          <w:p w14:paraId="7D3C5FE9"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640" w:type="dxa"/>
          </w:tcPr>
          <w:p w14:paraId="784080AC" w14:textId="77777777" w:rsidR="00AF2BE6" w:rsidRDefault="009D6580" w:rsidP="00AF2BE6">
            <w:pPr>
              <w:rPr>
                <w:rFonts w:ascii="Times New Roman" w:hAnsi="Times New Roman"/>
                <w:b/>
                <w:sz w:val="24"/>
                <w:u w:val="single"/>
              </w:rPr>
            </w:pPr>
            <w:r>
              <w:rPr>
                <w:rFonts w:ascii="Times New Roman" w:hAnsi="Times New Roman"/>
                <w:b/>
                <w:sz w:val="24"/>
                <w:u w:val="single"/>
              </w:rPr>
              <w:t>ZNESEK TVEGANJU PRILAGOJENIH IZPOSTAVLJENOSTI PO UPORABI FAKTORJEV ZA PODPORO IN PO UPOŠTEVANJU VALUTNE NEUSKLAJENOSTI</w:t>
            </w:r>
          </w:p>
          <w:p w14:paraId="5F17785F" w14:textId="6397E6C0" w:rsidR="009D6580" w:rsidRPr="002A677E" w:rsidRDefault="009D6580" w:rsidP="00AF2BE6">
            <w:pPr>
              <w:rPr>
                <w:rFonts w:ascii="Times New Roman" w:hAnsi="Times New Roman"/>
                <w:b/>
                <w:sz w:val="24"/>
                <w:u w:val="single"/>
              </w:rPr>
            </w:pPr>
            <w:r>
              <w:rPr>
                <w:rFonts w:ascii="Times New Roman" w:hAnsi="Times New Roman"/>
                <w:sz w:val="24"/>
              </w:rPr>
              <w:t>Enaka opredelitev kot za stolpec 0220 predloge CR SA.</w:t>
            </w:r>
          </w:p>
        </w:tc>
      </w:tr>
    </w:tbl>
    <w:p w14:paraId="00F504F2" w14:textId="77777777" w:rsidR="009D6580" w:rsidRPr="002A677E" w:rsidRDefault="009D6580" w:rsidP="009D6580">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D6580" w:rsidRPr="002A677E" w14:paraId="603A14A1" w14:textId="77777777" w:rsidTr="00822842">
        <w:trPr>
          <w:gridAfter w:val="1"/>
          <w:wAfter w:w="61" w:type="dxa"/>
          <w:trHeight w:val="581"/>
        </w:trPr>
        <w:tc>
          <w:tcPr>
            <w:tcW w:w="9828" w:type="dxa"/>
            <w:gridSpan w:val="2"/>
            <w:shd w:val="clear" w:color="auto" w:fill="CCCCCC"/>
          </w:tcPr>
          <w:p w14:paraId="52CB66F8" w14:textId="77777777" w:rsidR="009D6580" w:rsidRPr="002A677E" w:rsidRDefault="009D6580" w:rsidP="00822842">
            <w:pPr>
              <w:spacing w:after="0"/>
              <w:rPr>
                <w:rStyle w:val="InstructionsTabelleText"/>
                <w:rFonts w:ascii="Times New Roman" w:hAnsi="Times New Roman"/>
                <w:b/>
                <w:sz w:val="24"/>
              </w:rPr>
            </w:pPr>
            <w:r>
              <w:rPr>
                <w:rStyle w:val="InstructionsTabelleText"/>
                <w:rFonts w:ascii="Times New Roman" w:hAnsi="Times New Roman"/>
                <w:b/>
                <w:sz w:val="24"/>
              </w:rPr>
              <w:t>Vrstice</w:t>
            </w:r>
          </w:p>
        </w:tc>
      </w:tr>
      <w:tr w:rsidR="009D6580" w:rsidRPr="002A677E" w14:paraId="118E5421" w14:textId="77777777" w:rsidTr="00822842">
        <w:tc>
          <w:tcPr>
            <w:tcW w:w="1188" w:type="dxa"/>
            <w:shd w:val="clear" w:color="auto" w:fill="FFFFFF"/>
          </w:tcPr>
          <w:p w14:paraId="2F36564E" w14:textId="77777777" w:rsidR="009D6580" w:rsidRPr="002A677E" w:rsidRDefault="009D6580" w:rsidP="00822842">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5299C4C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Enote centralne ravni držav ali centralne banke</w:t>
            </w:r>
          </w:p>
          <w:p w14:paraId="701FDDD6" w14:textId="77777777" w:rsidR="009D6580" w:rsidRPr="002A677E" w:rsidRDefault="009D6580" w:rsidP="00822842">
            <w:pPr>
              <w:ind w:left="72"/>
              <w:rPr>
                <w:rStyle w:val="InstructionsTabelleText"/>
                <w:rFonts w:ascii="Times New Roman" w:hAnsi="Times New Roman"/>
                <w:sz w:val="24"/>
              </w:rPr>
            </w:pPr>
            <w:r>
              <w:rPr>
                <w:rFonts w:ascii="Times New Roman" w:hAnsi="Times New Roman"/>
                <w:sz w:val="24"/>
              </w:rPr>
              <w:t>Člen 112, točka (a), Uredbe (EU) št. 575/2013.</w:t>
            </w:r>
          </w:p>
        </w:tc>
      </w:tr>
      <w:tr w:rsidR="009D6580" w:rsidRPr="002A677E" w14:paraId="68375DB0" w14:textId="77777777" w:rsidTr="00822842">
        <w:tc>
          <w:tcPr>
            <w:tcW w:w="1188" w:type="dxa"/>
            <w:shd w:val="clear" w:color="auto" w:fill="FFFFFF"/>
          </w:tcPr>
          <w:p w14:paraId="1C3E335B"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1944FAD5"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Enote regionalne ali lokalne ravni držav</w:t>
            </w:r>
          </w:p>
          <w:p w14:paraId="06578FE1"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Člen 112, točka (b), Uredbe (EU) št. 575/2013.</w:t>
            </w:r>
          </w:p>
        </w:tc>
      </w:tr>
      <w:tr w:rsidR="009D6580" w:rsidRPr="002A677E" w14:paraId="586A7704" w14:textId="77777777" w:rsidTr="00822842">
        <w:tc>
          <w:tcPr>
            <w:tcW w:w="1188" w:type="dxa"/>
            <w:shd w:val="clear" w:color="auto" w:fill="FFFFFF"/>
          </w:tcPr>
          <w:p w14:paraId="2F12168F"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3F83BD2"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Subjekti javnega sektorja</w:t>
            </w:r>
          </w:p>
          <w:p w14:paraId="451BD941"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Člen 112, točka (c), Uredbe (EU) št. 575/2013.</w:t>
            </w:r>
          </w:p>
        </w:tc>
      </w:tr>
      <w:tr w:rsidR="009D6580" w:rsidRPr="002A677E" w14:paraId="6FF0246D" w14:textId="77777777" w:rsidTr="00822842">
        <w:tc>
          <w:tcPr>
            <w:tcW w:w="1188" w:type="dxa"/>
            <w:shd w:val="clear" w:color="auto" w:fill="FFFFFF"/>
          </w:tcPr>
          <w:p w14:paraId="0764BD95"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3EC9AA89"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Multilateralne razvojne banke</w:t>
            </w:r>
          </w:p>
          <w:p w14:paraId="59A02674"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Člen 112, točka (d), Uredbe (EU) št. 575/2013.</w:t>
            </w:r>
          </w:p>
        </w:tc>
      </w:tr>
      <w:tr w:rsidR="009D6580" w:rsidRPr="002A677E" w14:paraId="6E3FD4C2" w14:textId="77777777" w:rsidTr="00822842">
        <w:tc>
          <w:tcPr>
            <w:tcW w:w="1188" w:type="dxa"/>
            <w:shd w:val="clear" w:color="auto" w:fill="FFFFFF"/>
          </w:tcPr>
          <w:p w14:paraId="6AB26633" w14:textId="77777777" w:rsidR="009D6580" w:rsidRPr="002A677E" w:rsidRDefault="009D6580" w:rsidP="00822842">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5907B56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Mednarodne organizacije</w:t>
            </w:r>
          </w:p>
          <w:p w14:paraId="17C7FCF4"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Člen 112, točka (e), Uredbe (EU) št. 575/2013.</w:t>
            </w:r>
          </w:p>
        </w:tc>
      </w:tr>
      <w:tr w:rsidR="009D6580" w:rsidRPr="002A677E" w14:paraId="4CDD7211" w14:textId="77777777" w:rsidTr="00822842">
        <w:tc>
          <w:tcPr>
            <w:tcW w:w="1188" w:type="dxa"/>
            <w:shd w:val="clear" w:color="auto" w:fill="FFFFFF"/>
          </w:tcPr>
          <w:p w14:paraId="21D2188E"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1404BFA7"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Institucije</w:t>
            </w:r>
          </w:p>
          <w:p w14:paraId="153928C3"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Člen 112, točka (f), Uredbe (EU) št. 575/2013.</w:t>
            </w:r>
          </w:p>
        </w:tc>
      </w:tr>
      <w:tr w:rsidR="009D6580" w:rsidRPr="002A677E" w14:paraId="7EB39EC1" w14:textId="77777777" w:rsidTr="00822842">
        <w:tc>
          <w:tcPr>
            <w:tcW w:w="1188" w:type="dxa"/>
            <w:shd w:val="clear" w:color="auto" w:fill="FFFFFF"/>
          </w:tcPr>
          <w:p w14:paraId="666DDCFA"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FC344C1"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Podjetja</w:t>
            </w:r>
          </w:p>
          <w:p w14:paraId="2131631A"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Člen 112, točka (g), Uredbe (EU) št. 575/2013.</w:t>
            </w:r>
          </w:p>
        </w:tc>
      </w:tr>
      <w:tr w:rsidR="009D6580" w:rsidRPr="002A677E" w14:paraId="03BB556F" w14:textId="77777777" w:rsidTr="00822842">
        <w:tc>
          <w:tcPr>
            <w:tcW w:w="1188" w:type="dxa"/>
            <w:shd w:val="clear" w:color="auto" w:fill="FFFFFF"/>
          </w:tcPr>
          <w:p w14:paraId="4BDE48CD" w14:textId="77777777" w:rsidR="009D6580" w:rsidRPr="002A677E" w:rsidRDefault="009D6580" w:rsidP="00822842">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299BAF86" w14:textId="64D4FB8E" w:rsidR="009D6580" w:rsidRPr="002A677E" w:rsidRDefault="00DF1C5D" w:rsidP="00822842">
            <w:pPr>
              <w:ind w:left="72"/>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D6580">
              <w:rPr>
                <w:rStyle w:val="InstructionsTabelleberschrift"/>
                <w:rFonts w:ascii="Times New Roman" w:hAnsi="Times New Roman"/>
                <w:sz w:val="24"/>
              </w:rPr>
              <w:t>MSP</w:t>
            </w:r>
          </w:p>
          <w:p w14:paraId="54A9735B"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0020 predloge CR SA.</w:t>
            </w:r>
          </w:p>
        </w:tc>
      </w:tr>
      <w:tr w:rsidR="009D6580" w:rsidRPr="002A677E" w14:paraId="134D23F8" w14:textId="77777777" w:rsidTr="00822842">
        <w:tc>
          <w:tcPr>
            <w:tcW w:w="1188" w:type="dxa"/>
            <w:shd w:val="clear" w:color="auto" w:fill="FFFFFF"/>
          </w:tcPr>
          <w:p w14:paraId="44C941F7" w14:textId="77777777" w:rsidR="009D6580" w:rsidRPr="002A677E" w:rsidRDefault="009D6580" w:rsidP="00822842">
            <w:pPr>
              <w:rPr>
                <w:rFonts w:ascii="Times New Roman" w:hAnsi="Times New Roman"/>
                <w:sz w:val="24"/>
              </w:rPr>
            </w:pPr>
            <w:r>
              <w:rPr>
                <w:rFonts w:ascii="Times New Roman" w:hAnsi="Times New Roman"/>
                <w:sz w:val="24"/>
              </w:rPr>
              <w:t>0076</w:t>
            </w:r>
          </w:p>
        </w:tc>
        <w:tc>
          <w:tcPr>
            <w:tcW w:w="8701" w:type="dxa"/>
            <w:gridSpan w:val="2"/>
            <w:shd w:val="clear" w:color="auto" w:fill="FFFFFF"/>
          </w:tcPr>
          <w:p w14:paraId="77F474DF" w14:textId="3A7A5783" w:rsidR="009D6580" w:rsidRDefault="00DF1C5D" w:rsidP="00822842">
            <w:pPr>
              <w:ind w:left="72"/>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D6580">
              <w:rPr>
                <w:rStyle w:val="InstructionsTabelleberschrift"/>
                <w:rFonts w:ascii="Times New Roman" w:hAnsi="Times New Roman"/>
                <w:sz w:val="24"/>
              </w:rPr>
              <w:t>Posebni kreditni aranžmaji</w:t>
            </w:r>
          </w:p>
          <w:p w14:paraId="78348E89" w14:textId="77777777" w:rsidR="009D6580" w:rsidRPr="000059B8" w:rsidRDefault="009D6580" w:rsidP="00822842">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Člen 122a</w:t>
            </w:r>
            <w:r>
              <w:rPr>
                <w:rFonts w:ascii="Times New Roman" w:hAnsi="Times New Roman"/>
                <w:sz w:val="24"/>
              </w:rPr>
              <w:t xml:space="preserve"> Uredbe (EU) št. 575/2013</w:t>
            </w:r>
          </w:p>
        </w:tc>
      </w:tr>
      <w:tr w:rsidR="009D6580" w:rsidRPr="002A677E" w14:paraId="128893B5" w14:textId="77777777" w:rsidTr="00822842">
        <w:tc>
          <w:tcPr>
            <w:tcW w:w="1188" w:type="dxa"/>
            <w:shd w:val="clear" w:color="auto" w:fill="FFFFFF"/>
          </w:tcPr>
          <w:p w14:paraId="1169A0DC"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1C4CE181"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Izpostavljenosti na drobno</w:t>
            </w:r>
          </w:p>
          <w:p w14:paraId="4C73D393"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Člen 112, točka (h), Uredbe (EU) št. 575/2013.</w:t>
            </w:r>
          </w:p>
        </w:tc>
      </w:tr>
      <w:tr w:rsidR="009D6580" w:rsidRPr="002A677E" w14:paraId="1D7D32D9" w14:textId="77777777" w:rsidTr="00822842">
        <w:tc>
          <w:tcPr>
            <w:tcW w:w="1188" w:type="dxa"/>
            <w:shd w:val="clear" w:color="auto" w:fill="FFFFFF"/>
          </w:tcPr>
          <w:p w14:paraId="1C975069" w14:textId="77777777" w:rsidR="009D6580" w:rsidRPr="002A677E" w:rsidRDefault="009D6580" w:rsidP="00822842">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73F494D2" w14:textId="6DA069B1" w:rsidR="009D6580" w:rsidRPr="002A677E" w:rsidRDefault="00DF1C5D" w:rsidP="00822842">
            <w:pPr>
              <w:ind w:left="72"/>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D6580">
              <w:rPr>
                <w:rStyle w:val="InstructionsTabelleberschrift"/>
                <w:rFonts w:ascii="Times New Roman" w:hAnsi="Times New Roman"/>
                <w:sz w:val="24"/>
              </w:rPr>
              <w:t>MSP</w:t>
            </w:r>
          </w:p>
          <w:p w14:paraId="08FE43D7"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0020 predloge CR SA.</w:t>
            </w:r>
          </w:p>
        </w:tc>
      </w:tr>
      <w:tr w:rsidR="009D6580" w:rsidRPr="002A677E" w14:paraId="3E90F1DB" w14:textId="77777777" w:rsidTr="00822842">
        <w:tc>
          <w:tcPr>
            <w:tcW w:w="1188" w:type="dxa"/>
            <w:shd w:val="clear" w:color="auto" w:fill="FFFFFF"/>
          </w:tcPr>
          <w:p w14:paraId="67147AF5"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17BDF7D3"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Zavarovane s hipotekami na nepremičnine in izpostavljenosti ADC</w:t>
            </w:r>
          </w:p>
          <w:p w14:paraId="6DD925ED" w14:textId="77777777" w:rsidR="009D6580" w:rsidRPr="002A677E" w:rsidRDefault="009D6580" w:rsidP="00822842">
            <w:pPr>
              <w:ind w:left="72"/>
              <w:rPr>
                <w:rStyle w:val="InstructionsTabelleText"/>
                <w:rFonts w:ascii="Times New Roman" w:hAnsi="Times New Roman"/>
                <w:sz w:val="24"/>
              </w:rPr>
            </w:pPr>
            <w:r>
              <w:rPr>
                <w:rFonts w:ascii="Times New Roman" w:hAnsi="Times New Roman"/>
                <w:sz w:val="24"/>
              </w:rPr>
              <w:t>Člen 112, točka (i), Uredbe (EU) št. 575/2013.</w:t>
            </w:r>
          </w:p>
        </w:tc>
      </w:tr>
      <w:tr w:rsidR="0020657D" w:rsidRPr="002A677E" w14:paraId="121569F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D5F9610" w14:textId="778F3300"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70CA920" w14:textId="65F7321C"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Zavarovane s hipotekami na stanovanjske nepremičnine – izpostavljenosti, ki niso IPRE (zavarovane)</w:t>
            </w:r>
          </w:p>
          <w:p w14:paraId="5BC0E4C6" w14:textId="5F815813"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Glej predlogo CR SA.</w:t>
            </w:r>
          </w:p>
        </w:tc>
      </w:tr>
      <w:tr w:rsidR="0020657D" w:rsidRPr="002A677E" w14:paraId="25B6933C"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5A8E904D" w14:textId="7F2711DF"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0092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42D1EF" w14:textId="72958AEA"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Zavarovane s hipotekami na stanovanjske nepremičnine – izpostavljenosti, ki niso IPRE (nezavarovane)</w:t>
            </w:r>
          </w:p>
          <w:p w14:paraId="607C903E" w14:textId="583159EA"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Glej predlogo CR SA.</w:t>
            </w:r>
          </w:p>
        </w:tc>
      </w:tr>
      <w:tr w:rsidR="0020657D" w:rsidRPr="002A677E" w14:paraId="701555A6"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83B302C" w14:textId="18CEE166"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B3FDD9" w14:textId="16FA23A8"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Zavarovane s hipotekami na stanovanjske nepremičnine – drugo – izpostavljenosti, ki niso IPRE</w:t>
            </w:r>
          </w:p>
          <w:p w14:paraId="311E3CF5" w14:textId="5245D766"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Glej predlogo CR SA.</w:t>
            </w:r>
          </w:p>
        </w:tc>
      </w:tr>
      <w:tr w:rsidR="0020657D" w:rsidRPr="002A677E" w14:paraId="615EF34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7D83A88D" w14:textId="63260C8C"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E6351D" w14:textId="44D3576D"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Zavarovane s hipotekami na stanovanjske nepremičnine – IPRE</w:t>
            </w:r>
          </w:p>
          <w:p w14:paraId="2090782C" w14:textId="64D92CBC"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Glej predlogo CR SA.</w:t>
            </w:r>
          </w:p>
        </w:tc>
      </w:tr>
      <w:tr w:rsidR="0020657D" w:rsidRPr="002A677E" w14:paraId="7CA1FEE3"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A77C41" w14:textId="4CF840E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0900</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568974" w14:textId="0C6812F1"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Zavarovane s hipotekami na stanovanjske nepremičnine – drugo – IPRE</w:t>
            </w:r>
          </w:p>
          <w:p w14:paraId="18E3F7B1" w14:textId="00D9A105"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Glej predlogo CR SA.</w:t>
            </w:r>
          </w:p>
        </w:tc>
      </w:tr>
      <w:tr w:rsidR="0020657D" w:rsidRPr="002A677E" w14:paraId="1B8412D1"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DBC5681" w14:textId="00CB1918"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D4F7F6F" w14:textId="3D113128"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Zavarovane s hipotekami na poslovne nepremičnine – izpostavljenosti, ki niso IPRE (zavarovane)</w:t>
            </w:r>
          </w:p>
          <w:p w14:paraId="1DD8A6CF" w14:textId="2D56F96D"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Glej predlogo CR SA.</w:t>
            </w:r>
          </w:p>
        </w:tc>
      </w:tr>
      <w:tr w:rsidR="0020657D" w:rsidRPr="002A677E" w14:paraId="4BB5A6B7"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4D29792" w14:textId="67A4B384"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0E0D85FF" w14:textId="01F00A09"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Zavarovane s hipotekami na poslovne nepremičnine – izpostavljenosti, ki niso IPRE (nezavarovane)</w:t>
            </w:r>
          </w:p>
          <w:p w14:paraId="37DA45D4" w14:textId="1AC5F0E1"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Glej predlogo CR SA.</w:t>
            </w:r>
          </w:p>
        </w:tc>
      </w:tr>
      <w:tr w:rsidR="0020657D" w:rsidRPr="002A677E" w14:paraId="51A35A79"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C98603" w14:textId="70C97B22"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826D829" w14:textId="34287D44"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Zavarovane s hipotekami na poslovne nepremičnine – drugo – izpostavljenosti, ki niso IPRE</w:t>
            </w:r>
          </w:p>
          <w:p w14:paraId="653F8A23" w14:textId="727D9E51"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Glej predlogo CR SA.</w:t>
            </w:r>
          </w:p>
        </w:tc>
      </w:tr>
      <w:tr w:rsidR="0020657D" w:rsidRPr="002A677E" w14:paraId="638CB8D2"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2D2B42B" w14:textId="774FFF1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85691C9" w14:textId="20A87DF1"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Zavarovane s hipotekami na poslovne nepremičnine – IPRE</w:t>
            </w:r>
          </w:p>
          <w:p w14:paraId="5C23C6C1" w14:textId="64A934FD"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Glej predlogo CR SA.</w:t>
            </w:r>
          </w:p>
        </w:tc>
      </w:tr>
      <w:tr w:rsidR="0020657D" w:rsidRPr="002A677E" w14:paraId="09F113E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289B40E8" w14:textId="0E4A9F4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0905</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715DE58" w14:textId="7E237189"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Zavarovane s hipotekami na poslovne nepremičnine – drugo – IPRE</w:t>
            </w:r>
          </w:p>
          <w:p w14:paraId="4CFFBC8C" w14:textId="16697C60"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Glej predlogo CR SA.</w:t>
            </w:r>
          </w:p>
        </w:tc>
      </w:tr>
      <w:tr w:rsidR="0020657D" w:rsidRPr="002A677E" w14:paraId="0CC8353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094BAD1" w14:textId="4C383CF0"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0906</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4CFA51D" w14:textId="404C4240"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pridobitev, razvoj in izgradnja (ADC)</w:t>
            </w:r>
          </w:p>
          <w:p w14:paraId="0CFE246E" w14:textId="00399E0A"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Glej predlogo CR SA.</w:t>
            </w:r>
          </w:p>
        </w:tc>
      </w:tr>
      <w:tr w:rsidR="009D6580" w:rsidRPr="002A677E" w14:paraId="4C9413B7" w14:textId="77777777" w:rsidTr="00822842">
        <w:tc>
          <w:tcPr>
            <w:tcW w:w="1188" w:type="dxa"/>
            <w:shd w:val="clear" w:color="auto" w:fill="FFFFFF"/>
          </w:tcPr>
          <w:p w14:paraId="5E67C510" w14:textId="77777777" w:rsidR="009D6580" w:rsidRPr="002A677E" w:rsidRDefault="009D6580" w:rsidP="00822842">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DFFD2E6" w14:textId="2A4265DF" w:rsidR="009D6580" w:rsidRPr="002A677E" w:rsidRDefault="00DF1C5D" w:rsidP="00822842">
            <w:pPr>
              <w:ind w:left="72"/>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D6580">
              <w:rPr>
                <w:rStyle w:val="InstructionsTabelleberschrift"/>
                <w:rFonts w:ascii="Times New Roman" w:hAnsi="Times New Roman"/>
                <w:sz w:val="24"/>
              </w:rPr>
              <w:t>MSP</w:t>
            </w:r>
          </w:p>
          <w:p w14:paraId="6A4AA475"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0020 predloge CR SA.</w:t>
            </w:r>
          </w:p>
        </w:tc>
      </w:tr>
      <w:tr w:rsidR="009D6580" w:rsidRPr="002A677E" w14:paraId="0A879D31" w14:textId="77777777" w:rsidTr="00822842">
        <w:tc>
          <w:tcPr>
            <w:tcW w:w="1188" w:type="dxa"/>
            <w:shd w:val="clear" w:color="auto" w:fill="FFFFFF"/>
          </w:tcPr>
          <w:p w14:paraId="67C52CF1"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125A151C"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Neplačane izpostavljenosti</w:t>
            </w:r>
          </w:p>
          <w:p w14:paraId="24E89ACE"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Člen 112, točka (j), Uredbe (EU) št. 575/2013.</w:t>
            </w:r>
          </w:p>
        </w:tc>
      </w:tr>
      <w:tr w:rsidR="009D6580" w:rsidRPr="002A677E" w14:paraId="09CAD285" w14:textId="77777777" w:rsidTr="00822842">
        <w:tc>
          <w:tcPr>
            <w:tcW w:w="1188" w:type="dxa"/>
            <w:shd w:val="clear" w:color="auto" w:fill="FFFFFF"/>
          </w:tcPr>
          <w:p w14:paraId="0FA617CD" w14:textId="77777777" w:rsidR="009D6580" w:rsidRPr="002A677E" w:rsidRDefault="009D6580" w:rsidP="00822842">
            <w:pPr>
              <w:rPr>
                <w:rFonts w:ascii="Times New Roman" w:hAnsi="Times New Roman"/>
                <w:sz w:val="24"/>
              </w:rPr>
            </w:pPr>
            <w:r>
              <w:rPr>
                <w:rFonts w:ascii="Times New Roman" w:hAnsi="Times New Roman"/>
                <w:sz w:val="24"/>
              </w:rPr>
              <w:t>0115</w:t>
            </w:r>
          </w:p>
        </w:tc>
        <w:tc>
          <w:tcPr>
            <w:tcW w:w="8701" w:type="dxa"/>
            <w:gridSpan w:val="2"/>
            <w:shd w:val="clear" w:color="auto" w:fill="FFFFFF"/>
          </w:tcPr>
          <w:p w14:paraId="71EBD362" w14:textId="77777777" w:rsidR="009D6580"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Izpostavljenosti iz naslova podrejenega dolga</w:t>
            </w:r>
          </w:p>
          <w:p w14:paraId="7F19547A" w14:textId="77777777" w:rsidR="009D6580" w:rsidRPr="000059B8" w:rsidRDefault="009D6580" w:rsidP="00822842">
            <w:pPr>
              <w:ind w:left="72"/>
              <w:rPr>
                <w:rStyle w:val="InstructionsTabelleberschrift"/>
                <w:rFonts w:ascii="Times New Roman" w:hAnsi="Times New Roman"/>
                <w:b w:val="0"/>
                <w:bCs w:val="0"/>
                <w:sz w:val="24"/>
                <w:u w:val="none"/>
              </w:rPr>
            </w:pPr>
            <w:r>
              <w:rPr>
                <w:rFonts w:ascii="Times New Roman" w:hAnsi="Times New Roman"/>
                <w:sz w:val="24"/>
              </w:rPr>
              <w:t>Člen 112, točka (k), Uredbe (EU) št. 575/2013.</w:t>
            </w:r>
          </w:p>
        </w:tc>
      </w:tr>
      <w:tr w:rsidR="009D6580" w:rsidRPr="002A677E" w14:paraId="7674C8D0" w14:textId="77777777" w:rsidTr="00822842">
        <w:tc>
          <w:tcPr>
            <w:tcW w:w="1188" w:type="dxa"/>
            <w:shd w:val="clear" w:color="auto" w:fill="FFFFFF"/>
          </w:tcPr>
          <w:p w14:paraId="0BFA54D1"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1D949A7D" w14:textId="77777777" w:rsidR="009D6580" w:rsidRPr="002A677E" w:rsidRDefault="009D6580" w:rsidP="00822842">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Krite obveznice</w:t>
            </w:r>
          </w:p>
          <w:p w14:paraId="68F7689A" w14:textId="77777777" w:rsidR="009D6580" w:rsidRPr="002A677E" w:rsidRDefault="009D6580" w:rsidP="00822842">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lastRenderedPageBreak/>
              <w:t>Člen 112, točka (l), Uredbe (EU) št. 575/2013.</w:t>
            </w:r>
          </w:p>
        </w:tc>
      </w:tr>
      <w:tr w:rsidR="009D6580" w:rsidRPr="002A677E" w14:paraId="18458816" w14:textId="77777777" w:rsidTr="00822842">
        <w:tc>
          <w:tcPr>
            <w:tcW w:w="1188" w:type="dxa"/>
            <w:shd w:val="clear" w:color="auto" w:fill="FFFFFF"/>
          </w:tcPr>
          <w:p w14:paraId="7948D0D7" w14:textId="77777777" w:rsidR="009D6580" w:rsidRPr="002A677E" w:rsidRDefault="009D6580" w:rsidP="00822842">
            <w:pPr>
              <w:rPr>
                <w:rFonts w:ascii="Times New Roman" w:hAnsi="Times New Roman"/>
                <w:sz w:val="24"/>
              </w:rPr>
            </w:pPr>
            <w:r>
              <w:rPr>
                <w:rFonts w:ascii="Times New Roman" w:hAnsi="Times New Roman"/>
                <w:sz w:val="24"/>
              </w:rPr>
              <w:lastRenderedPageBreak/>
              <w:t>0130</w:t>
            </w:r>
          </w:p>
          <w:p w14:paraId="7980BCEA" w14:textId="77777777" w:rsidR="009D6580" w:rsidRPr="002A677E" w:rsidRDefault="009D6580" w:rsidP="00822842">
            <w:pPr>
              <w:rPr>
                <w:rFonts w:ascii="Times New Roman" w:hAnsi="Times New Roman"/>
                <w:sz w:val="24"/>
              </w:rPr>
            </w:pPr>
          </w:p>
        </w:tc>
        <w:tc>
          <w:tcPr>
            <w:tcW w:w="8701" w:type="dxa"/>
            <w:gridSpan w:val="2"/>
            <w:shd w:val="clear" w:color="auto" w:fill="FFFFFF"/>
          </w:tcPr>
          <w:p w14:paraId="5ADC641A" w14:textId="77777777" w:rsidR="009D6580" w:rsidRPr="002A677E" w:rsidRDefault="009D6580" w:rsidP="00822842">
            <w:pPr>
              <w:ind w:left="72"/>
              <w:rPr>
                <w:rStyle w:val="InstructionsTabelleberschrift"/>
                <w:rFonts w:ascii="Times New Roman" w:hAnsi="Times New Roman"/>
                <w:bCs w:val="0"/>
                <w:sz w:val="24"/>
              </w:rPr>
            </w:pPr>
            <w:r>
              <w:rPr>
                <w:rStyle w:val="InstructionsTabelleberschrift"/>
                <w:rFonts w:ascii="Times New Roman" w:hAnsi="Times New Roman"/>
                <w:sz w:val="24"/>
              </w:rPr>
              <w:t>Terjatve do institucij in podjetij s kratkoročno bonitetno oceno</w:t>
            </w:r>
          </w:p>
          <w:p w14:paraId="53F92677" w14:textId="77777777" w:rsidR="009D6580" w:rsidRPr="002A677E" w:rsidRDefault="009D6580" w:rsidP="00822842">
            <w:pPr>
              <w:ind w:left="72"/>
              <w:rPr>
                <w:rFonts w:ascii="Times New Roman" w:hAnsi="Times New Roman"/>
                <w:sz w:val="24"/>
              </w:rPr>
            </w:pPr>
            <w:r>
              <w:rPr>
                <w:rFonts w:ascii="Times New Roman" w:hAnsi="Times New Roman"/>
                <w:sz w:val="24"/>
              </w:rPr>
              <w:t>Člen 112, točka (n), Uredbe (EU) št. 575/2013.</w:t>
            </w:r>
          </w:p>
        </w:tc>
      </w:tr>
      <w:tr w:rsidR="009D6580" w:rsidRPr="002A677E" w14:paraId="047E6212" w14:textId="77777777" w:rsidTr="00822842">
        <w:tc>
          <w:tcPr>
            <w:tcW w:w="1188" w:type="dxa"/>
            <w:shd w:val="clear" w:color="auto" w:fill="FFFFFF"/>
          </w:tcPr>
          <w:p w14:paraId="3E827A33" w14:textId="77777777" w:rsidR="009D6580" w:rsidRPr="002A677E" w:rsidRDefault="009D6580" w:rsidP="00822842">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2E96D7EF"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Kolektivni naložbeni podjemi (KNP)</w:t>
            </w:r>
          </w:p>
          <w:p w14:paraId="6BE6CAC2" w14:textId="77777777" w:rsidR="009D6580" w:rsidRPr="002A677E" w:rsidRDefault="009D6580" w:rsidP="00822842">
            <w:pPr>
              <w:ind w:left="72"/>
              <w:rPr>
                <w:rFonts w:ascii="Times New Roman" w:hAnsi="Times New Roman"/>
                <w:bCs/>
                <w:sz w:val="24"/>
              </w:rPr>
            </w:pPr>
            <w:r>
              <w:rPr>
                <w:rFonts w:ascii="Times New Roman" w:hAnsi="Times New Roman"/>
                <w:sz w:val="24"/>
              </w:rPr>
              <w:t>Člen 112, točka (o), Uredbe (EU) št. 575/2013.</w:t>
            </w:r>
          </w:p>
          <w:p w14:paraId="0FFD53A4" w14:textId="77777777" w:rsidR="009D6580" w:rsidRPr="002A677E" w:rsidRDefault="009D6580" w:rsidP="00822842">
            <w:pPr>
              <w:ind w:left="72"/>
              <w:rPr>
                <w:rStyle w:val="InstructionsTabelleberschrift"/>
                <w:rFonts w:ascii="Times New Roman" w:hAnsi="Times New Roman"/>
                <w:b w:val="0"/>
                <w:bCs w:val="0"/>
                <w:sz w:val="24"/>
                <w:u w:val="none"/>
              </w:rPr>
            </w:pPr>
            <w:r>
              <w:rPr>
                <w:rFonts w:ascii="Times New Roman" w:hAnsi="Times New Roman"/>
                <w:sz w:val="24"/>
              </w:rPr>
              <w:t>Vsota vrstic 0141 do 0143.</w:t>
            </w:r>
          </w:p>
        </w:tc>
      </w:tr>
      <w:tr w:rsidR="009D6580" w:rsidRPr="002A677E" w14:paraId="1E100EF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7F84F572" w14:textId="77777777" w:rsidR="009D6580" w:rsidRPr="002A677E" w:rsidRDefault="009D6580" w:rsidP="00822842">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C91D5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Pristop vpogleda</w:t>
            </w:r>
          </w:p>
          <w:p w14:paraId="00783183"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0281 predloge CR SA.</w:t>
            </w:r>
          </w:p>
        </w:tc>
      </w:tr>
      <w:tr w:rsidR="009D6580" w:rsidRPr="002A677E" w14:paraId="10D57CC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1AB8D3" w14:textId="77777777" w:rsidR="009D6580" w:rsidRPr="002A677E" w:rsidRDefault="009D6580" w:rsidP="00822842">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316A9B"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Pristop na podlagi mandata</w:t>
            </w:r>
          </w:p>
          <w:p w14:paraId="1FD38657"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0282 predloge CR SA.</w:t>
            </w:r>
          </w:p>
        </w:tc>
      </w:tr>
      <w:tr w:rsidR="009D6580" w:rsidRPr="002A677E" w14:paraId="3E0CB8E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2037C7" w14:textId="77777777" w:rsidR="009D6580" w:rsidRPr="002A677E" w:rsidRDefault="009D6580" w:rsidP="00822842">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408BF90"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Nadomestni pristop</w:t>
            </w:r>
          </w:p>
          <w:p w14:paraId="2EA9AADD"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0283 predloge CR SA.</w:t>
            </w:r>
          </w:p>
        </w:tc>
      </w:tr>
      <w:tr w:rsidR="009D6580" w:rsidRPr="002A677E" w14:paraId="518DACEB" w14:textId="77777777" w:rsidTr="00822842">
        <w:tc>
          <w:tcPr>
            <w:tcW w:w="1188" w:type="dxa"/>
            <w:shd w:val="clear" w:color="auto" w:fill="FFFFFF"/>
          </w:tcPr>
          <w:p w14:paraId="091F315F" w14:textId="77777777" w:rsidR="009D6580" w:rsidRPr="002A677E" w:rsidRDefault="009D6580" w:rsidP="00822842">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0CB5B1C0"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Izpostavljenosti iz naslova lastniških instrumentov</w:t>
            </w:r>
          </w:p>
          <w:p w14:paraId="3170DAFB"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Člen 112, točka (p), Uredbe (EU) št. 575/2013.</w:t>
            </w:r>
          </w:p>
        </w:tc>
      </w:tr>
      <w:tr w:rsidR="009D6580" w:rsidRPr="002A677E" w14:paraId="406875C9" w14:textId="77777777" w:rsidTr="00822842">
        <w:tc>
          <w:tcPr>
            <w:tcW w:w="1188" w:type="dxa"/>
            <w:shd w:val="clear" w:color="auto" w:fill="FFFFFF"/>
          </w:tcPr>
          <w:p w14:paraId="432F9620" w14:textId="77777777" w:rsidR="009D6580" w:rsidRPr="002A677E" w:rsidRDefault="009D6580" w:rsidP="00822842">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139F32E7"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Druge izpostavljenosti</w:t>
            </w:r>
          </w:p>
          <w:p w14:paraId="5D708342"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Člen 112, točka (q), Uredbe (EU) št. 575/2013.</w:t>
            </w:r>
          </w:p>
        </w:tc>
      </w:tr>
      <w:tr w:rsidR="009D6580" w:rsidRPr="002A677E" w14:paraId="79E704E6" w14:textId="77777777" w:rsidTr="00822842">
        <w:tc>
          <w:tcPr>
            <w:tcW w:w="1188" w:type="dxa"/>
            <w:shd w:val="clear" w:color="auto" w:fill="FFFFFF"/>
          </w:tcPr>
          <w:p w14:paraId="027B6EB3" w14:textId="77777777" w:rsidR="009D6580" w:rsidRPr="002A677E" w:rsidRDefault="009D6580" w:rsidP="00822842">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545271D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Skupni znesek izpostavljenosti</w:t>
            </w:r>
          </w:p>
        </w:tc>
      </w:tr>
    </w:tbl>
    <w:p w14:paraId="2EB3E5B0" w14:textId="77777777" w:rsidR="009D6580" w:rsidRPr="002A677E" w:rsidRDefault="009D6580" w:rsidP="009D6580">
      <w:pPr>
        <w:spacing w:before="0" w:after="200" w:line="312" w:lineRule="auto"/>
        <w:jc w:val="left"/>
        <w:rPr>
          <w:rFonts w:ascii="Times New Roman" w:hAnsi="Times New Roman"/>
          <w:sz w:val="24"/>
        </w:rPr>
      </w:pPr>
      <w:bookmarkStart w:id="3" w:name="_Toc292456210"/>
    </w:p>
    <w:p w14:paraId="467F6DC6"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4" w:name="_Toc360188364"/>
      <w:bookmarkStart w:id="5" w:name="_Toc473560915"/>
      <w:bookmarkStart w:id="6" w:name="_Toc151714419"/>
      <w:r>
        <w:rPr>
          <w:rFonts w:ascii="Times New Roman" w:hAnsi="Times New Roman"/>
          <w:sz w:val="24"/>
          <w:u w:val="none"/>
        </w:rPr>
        <w:t>3.4.2</w:t>
      </w:r>
      <w:r w:rsidRPr="00DF1C5D">
        <w:rPr>
          <w:u w:val="none"/>
        </w:rPr>
        <w:tab/>
      </w:r>
      <w:r>
        <w:rPr>
          <w:rFonts w:ascii="Times New Roman" w:hAnsi="Times New Roman"/>
          <w:sz w:val="24"/>
        </w:rPr>
        <w:t>C 09.02 – Geografska razčlenitev izpostavljenosti glede na sedež dolžnika: izpostavljenosti na podlagi pristopa IRB</w:t>
      </w:r>
      <w:bookmarkEnd w:id="4"/>
      <w:r>
        <w:rPr>
          <w:rFonts w:ascii="Times New Roman" w:hAnsi="Times New Roman"/>
          <w:sz w:val="24"/>
        </w:rPr>
        <w:t xml:space="preserve"> (CR GB 2)</w:t>
      </w:r>
      <w:bookmarkEnd w:id="5"/>
      <w:bookmarkEnd w:id="6"/>
    </w:p>
    <w:p w14:paraId="21A320CB"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7" w:name="_Toc360188365"/>
      <w:bookmarkStart w:id="8" w:name="_Toc473560916"/>
      <w:bookmarkStart w:id="9" w:name="_Toc151714420"/>
      <w:r>
        <w:rPr>
          <w:rFonts w:ascii="Times New Roman" w:hAnsi="Times New Roman"/>
          <w:sz w:val="24"/>
          <w:u w:val="none"/>
        </w:rPr>
        <w:t>3.4.2.1</w:t>
      </w:r>
      <w:r w:rsidRPr="00DF1C5D">
        <w:rPr>
          <w:u w:val="none"/>
        </w:rPr>
        <w:tab/>
      </w:r>
      <w:r>
        <w:rPr>
          <w:rFonts w:ascii="Times New Roman" w:hAnsi="Times New Roman"/>
          <w:sz w:val="24"/>
        </w:rPr>
        <w:t>Navodila za posamezne pozicije</w:t>
      </w:r>
      <w:bookmarkEnd w:id="7"/>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5FD232EC" w14:textId="77777777" w:rsidTr="00822842">
        <w:tc>
          <w:tcPr>
            <w:tcW w:w="1188" w:type="dxa"/>
            <w:shd w:val="clear" w:color="auto" w:fill="CCCCCC"/>
          </w:tcPr>
          <w:p w14:paraId="0A2DD9C0" w14:textId="77777777" w:rsidR="009D6580" w:rsidRPr="002A677E" w:rsidRDefault="009D6580" w:rsidP="00822842">
            <w:pPr>
              <w:rPr>
                <w:rFonts w:ascii="Times New Roman" w:hAnsi="Times New Roman"/>
                <w:b/>
                <w:sz w:val="24"/>
              </w:rPr>
            </w:pPr>
            <w:r>
              <w:rPr>
                <w:rFonts w:ascii="Times New Roman" w:hAnsi="Times New Roman"/>
                <w:b/>
                <w:sz w:val="24"/>
              </w:rPr>
              <w:t>Stolpci</w:t>
            </w:r>
          </w:p>
        </w:tc>
        <w:tc>
          <w:tcPr>
            <w:tcW w:w="8640" w:type="dxa"/>
            <w:shd w:val="clear" w:color="auto" w:fill="CCCCCC"/>
          </w:tcPr>
          <w:p w14:paraId="1C07519A" w14:textId="77777777" w:rsidR="009D6580" w:rsidRPr="002A677E" w:rsidRDefault="009D6580" w:rsidP="00822842">
            <w:pPr>
              <w:ind w:left="72"/>
              <w:rPr>
                <w:rFonts w:ascii="Times New Roman" w:hAnsi="Times New Roman"/>
                <w:sz w:val="24"/>
              </w:rPr>
            </w:pPr>
          </w:p>
        </w:tc>
      </w:tr>
      <w:tr w:rsidR="009D6580" w:rsidRPr="002A677E" w14:paraId="4CF7BB7D" w14:textId="77777777" w:rsidTr="00822842">
        <w:tc>
          <w:tcPr>
            <w:tcW w:w="1188" w:type="dxa"/>
          </w:tcPr>
          <w:p w14:paraId="1DF8677F"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DA72BDB"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ORIGINALNA IZPOSTAVLJENOST PRED UPORABO KONVERZIJSKIH FAKTORJEV</w:t>
            </w:r>
          </w:p>
          <w:p w14:paraId="714A5DA7" w14:textId="77777777" w:rsidR="009D6580" w:rsidRPr="002A677E" w:rsidRDefault="009D6580" w:rsidP="00822842">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Enaka opredelitev kot za stolpec 0020 predloge CR IRB.</w:t>
            </w:r>
          </w:p>
        </w:tc>
      </w:tr>
      <w:tr w:rsidR="009D6580" w:rsidRPr="002A677E" w14:paraId="770F3897" w14:textId="77777777" w:rsidTr="00822842">
        <w:tc>
          <w:tcPr>
            <w:tcW w:w="1188" w:type="dxa"/>
          </w:tcPr>
          <w:p w14:paraId="56E092EF"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640" w:type="dxa"/>
          </w:tcPr>
          <w:p w14:paraId="0071C394" w14:textId="622ED2C2" w:rsidR="009D6580" w:rsidRPr="002A677E" w:rsidRDefault="00DF1C5D" w:rsidP="00822842">
            <w:pPr>
              <w:rPr>
                <w:rFonts w:ascii="Times New Roman" w:hAnsi="Times New Roman"/>
                <w:b/>
                <w:sz w:val="24"/>
                <w:u w:val="single"/>
              </w:rPr>
            </w:pPr>
            <w:r>
              <w:rPr>
                <w:rFonts w:ascii="Times New Roman" w:hAnsi="Times New Roman"/>
                <w:b/>
                <w:sz w:val="24"/>
                <w:u w:val="single"/>
              </w:rPr>
              <w:t xml:space="preserve">Od tega: </w:t>
            </w:r>
            <w:r w:rsidR="009D6580">
              <w:rPr>
                <w:rFonts w:ascii="Times New Roman" w:hAnsi="Times New Roman"/>
                <w:b/>
                <w:sz w:val="24"/>
                <w:u w:val="single"/>
              </w:rPr>
              <w:t>neplačane</w:t>
            </w:r>
          </w:p>
          <w:p w14:paraId="2768B5B2"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 xml:space="preserve">Vrednost originalne izpostavljenosti za izpostavljenosti, ki so bile opredeljene kot neplačane izpostavljenosti v skladu s členom 178 </w:t>
            </w:r>
            <w:r>
              <w:rPr>
                <w:rFonts w:ascii="Times New Roman" w:hAnsi="Times New Roman"/>
                <w:sz w:val="24"/>
              </w:rPr>
              <w:t>Uredbe (EU) št. 575/2013.</w:t>
            </w:r>
          </w:p>
        </w:tc>
      </w:tr>
      <w:tr w:rsidR="009D6580" w:rsidRPr="002A677E" w14:paraId="7AD6E18B" w14:textId="77777777" w:rsidTr="00822842">
        <w:tc>
          <w:tcPr>
            <w:tcW w:w="1188" w:type="dxa"/>
          </w:tcPr>
          <w:p w14:paraId="1DFAF6C6"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640" w:type="dxa"/>
          </w:tcPr>
          <w:p w14:paraId="3FD9DA2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Ugotovljena nova neplačila za obdobje</w:t>
            </w:r>
          </w:p>
          <w:p w14:paraId="2393DECB"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lastRenderedPageBreak/>
              <w:t xml:space="preserve">Znesek originalnih izpostavljenosti, ki so bile razvrščene kot „Neplačane izpostavljenosti“ v trimesečnem obdobju od zadnjega referenčnega datuma poročanja, se poroča v okviru kategorije izpostavljenosti, ki ji je prvotno pripadal dolžnik. </w:t>
            </w:r>
          </w:p>
        </w:tc>
      </w:tr>
      <w:tr w:rsidR="009D6580" w:rsidRPr="002A677E" w14:paraId="382342DD" w14:textId="77777777" w:rsidTr="00822842">
        <w:tc>
          <w:tcPr>
            <w:tcW w:w="1188" w:type="dxa"/>
          </w:tcPr>
          <w:p w14:paraId="20977C7F" w14:textId="77777777" w:rsidR="009D6580" w:rsidRPr="002A677E" w:rsidRDefault="009D6580" w:rsidP="00822842">
            <w:pPr>
              <w:rPr>
                <w:rFonts w:ascii="Times New Roman" w:hAnsi="Times New Roman"/>
                <w:sz w:val="24"/>
              </w:rPr>
            </w:pPr>
            <w:r>
              <w:rPr>
                <w:rFonts w:ascii="Times New Roman" w:hAnsi="Times New Roman"/>
                <w:sz w:val="24"/>
              </w:rPr>
              <w:lastRenderedPageBreak/>
              <w:t>0050</w:t>
            </w:r>
          </w:p>
        </w:tc>
        <w:tc>
          <w:tcPr>
            <w:tcW w:w="8640" w:type="dxa"/>
          </w:tcPr>
          <w:p w14:paraId="6E8FD64C"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Splošni popravki zaradi kreditnega tveganja</w:t>
            </w:r>
          </w:p>
          <w:p w14:paraId="1F1D0A5D" w14:textId="77777777" w:rsidR="009D6580" w:rsidRPr="002A677E" w:rsidRDefault="009D6580" w:rsidP="00822842">
            <w:pPr>
              <w:rPr>
                <w:rFonts w:ascii="Times New Roman" w:hAnsi="Times New Roman"/>
                <w:b/>
                <w:sz w:val="24"/>
                <w:u w:val="single"/>
              </w:rPr>
            </w:pPr>
            <w:r>
              <w:rPr>
                <w:rFonts w:ascii="Times New Roman" w:hAnsi="Times New Roman"/>
                <w:sz w:val="24"/>
              </w:rPr>
              <w:t>Popravki zaradi kreditnega tveganja iz člena 110 Uredbe (EU) št. 575/2013 in Uredbe (EU) št. 183/2014</w:t>
            </w:r>
          </w:p>
        </w:tc>
      </w:tr>
      <w:tr w:rsidR="009D6580" w:rsidRPr="002A677E" w14:paraId="63C2E396" w14:textId="77777777" w:rsidTr="00822842">
        <w:tc>
          <w:tcPr>
            <w:tcW w:w="1188" w:type="dxa"/>
          </w:tcPr>
          <w:p w14:paraId="3BC8F127" w14:textId="77777777" w:rsidR="009D6580" w:rsidRPr="002A677E" w:rsidRDefault="009D6580" w:rsidP="00822842">
            <w:pPr>
              <w:rPr>
                <w:rFonts w:ascii="Times New Roman" w:hAnsi="Times New Roman"/>
                <w:sz w:val="24"/>
              </w:rPr>
            </w:pPr>
            <w:r>
              <w:rPr>
                <w:rFonts w:ascii="Times New Roman" w:hAnsi="Times New Roman"/>
                <w:sz w:val="24"/>
              </w:rPr>
              <w:t>0055</w:t>
            </w:r>
          </w:p>
        </w:tc>
        <w:tc>
          <w:tcPr>
            <w:tcW w:w="8640" w:type="dxa"/>
          </w:tcPr>
          <w:p w14:paraId="26D828F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Posebni popravki zaradi kreditnega tveganja</w:t>
            </w:r>
          </w:p>
          <w:p w14:paraId="4DA8E76B" w14:textId="77777777" w:rsidR="009D6580" w:rsidRPr="002A677E" w:rsidRDefault="009D6580" w:rsidP="00822842">
            <w:pPr>
              <w:rPr>
                <w:rFonts w:ascii="Times New Roman" w:hAnsi="Times New Roman"/>
                <w:b/>
                <w:sz w:val="24"/>
                <w:u w:val="single"/>
              </w:rPr>
            </w:pPr>
            <w:r>
              <w:rPr>
                <w:rFonts w:ascii="Times New Roman" w:hAnsi="Times New Roman"/>
                <w:sz w:val="24"/>
              </w:rPr>
              <w:t>Popravki zaradi kreditnega tveganja iz člena 110 Uredbe (EU) št. 575/2013 in Uredbe (EU) št. 183/2014</w:t>
            </w:r>
          </w:p>
        </w:tc>
      </w:tr>
      <w:tr w:rsidR="009D6580" w:rsidRPr="002A677E" w14:paraId="24582208" w14:textId="77777777" w:rsidTr="00822842">
        <w:tc>
          <w:tcPr>
            <w:tcW w:w="1188" w:type="dxa"/>
          </w:tcPr>
          <w:p w14:paraId="46A1EB07"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4CC236D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Odpisi</w:t>
            </w:r>
          </w:p>
          <w:p w14:paraId="51BEEB5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Odpisi, kot so navedeni v 5.4.4. in B5.4.9. členu MSRP 9.</w:t>
            </w:r>
          </w:p>
        </w:tc>
      </w:tr>
      <w:tr w:rsidR="009D6580" w:rsidRPr="002A677E" w14:paraId="615BD0D9" w14:textId="77777777" w:rsidTr="00822842">
        <w:tc>
          <w:tcPr>
            <w:tcW w:w="1188" w:type="dxa"/>
          </w:tcPr>
          <w:p w14:paraId="641E5F2D"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7C362C1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Popravki zaradi kreditnega tveganja/odpisi za ugotovljena nova neplačila</w:t>
            </w:r>
          </w:p>
          <w:p w14:paraId="454774E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Vsota popravkov zaradi kreditnega tveganja in odpisov za izpostavljenosti, ki so bile razvrščene kot „neplačane izpostavljenosti“ v trimesečnem obdobju od zadnje predložitve podatkov.</w:t>
            </w:r>
          </w:p>
        </w:tc>
      </w:tr>
      <w:tr w:rsidR="009D6580" w:rsidRPr="002A677E" w14:paraId="4B7452D7" w14:textId="77777777" w:rsidTr="00822842">
        <w:tc>
          <w:tcPr>
            <w:tcW w:w="1188" w:type="dxa"/>
          </w:tcPr>
          <w:p w14:paraId="1A68115E"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256EF248" w14:textId="77777777" w:rsidR="009D6580" w:rsidRPr="002A677E" w:rsidRDefault="009D6580" w:rsidP="00822842">
            <w:pPr>
              <w:rPr>
                <w:rStyle w:val="InstructionsTabelleberschrift"/>
                <w:rFonts w:ascii="Times New Roman" w:hAnsi="Times New Roman"/>
                <w:bCs w:val="0"/>
                <w:sz w:val="24"/>
              </w:rPr>
            </w:pPr>
            <w:r>
              <w:rPr>
                <w:rStyle w:val="InstructionsTabelleberschrift"/>
                <w:rFonts w:ascii="Times New Roman" w:hAnsi="Times New Roman"/>
                <w:sz w:val="24"/>
              </w:rPr>
              <w:t>NOTRANJA BONITETNA LESTVICA/VERJETNOST NEPLAČILA (PD), KI SE DODELI BONITETNEMU RAZREDU DOLŽNIKA ALI SKUPINI IZPOSTAVLJENOSTI (%)</w:t>
            </w:r>
          </w:p>
          <w:p w14:paraId="2C51714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Enaka opredelitev kot za stolpec 0010 predloge CR IRB.</w:t>
            </w:r>
          </w:p>
        </w:tc>
      </w:tr>
      <w:tr w:rsidR="009D6580" w:rsidRPr="002A677E" w14:paraId="18989AFE" w14:textId="77777777" w:rsidTr="00822842">
        <w:tc>
          <w:tcPr>
            <w:tcW w:w="1188" w:type="dxa"/>
          </w:tcPr>
          <w:p w14:paraId="489AE0F7"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640" w:type="dxa"/>
          </w:tcPr>
          <w:p w14:paraId="78B53BE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Z IZPOSTAVLJENOSTJO TEHTANO POVPREČJE LGD (%)</w:t>
            </w:r>
          </w:p>
          <w:p w14:paraId="5BC89E8E"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 xml:space="preserve">Enaka opredelitev kot za stolpca 0230 in 0240 predloge CR IRB: z izpostavljenostjo tehtano povprečje LGD (%) se nanaša na vse izpostavljenosti, vključno z izpostavljenostmi do velikih subjektov finančnega sektorja in </w:t>
            </w:r>
            <w:proofErr w:type="spellStart"/>
            <w:r>
              <w:rPr>
                <w:rStyle w:val="InstructionsTabelleText"/>
                <w:rFonts w:ascii="Times New Roman" w:hAnsi="Times New Roman"/>
                <w:sz w:val="24"/>
              </w:rPr>
              <w:t>nereguliranih</w:t>
            </w:r>
            <w:proofErr w:type="spellEnd"/>
            <w:r>
              <w:rPr>
                <w:rStyle w:val="InstructionsTabelleText"/>
                <w:rFonts w:ascii="Times New Roman" w:hAnsi="Times New Roman"/>
                <w:sz w:val="24"/>
              </w:rPr>
              <w:t xml:space="preserve"> finančnih subjektov. Člen 181(1), točka (h), </w:t>
            </w:r>
            <w:r>
              <w:rPr>
                <w:rFonts w:ascii="Times New Roman" w:hAnsi="Times New Roman"/>
                <w:sz w:val="24"/>
              </w:rPr>
              <w:t>Uredbe (EU) št. 575/2013</w:t>
            </w:r>
            <w:r>
              <w:rPr>
                <w:rStyle w:val="InstructionsTabelleText"/>
                <w:rFonts w:ascii="Times New Roman" w:hAnsi="Times New Roman"/>
                <w:sz w:val="24"/>
              </w:rPr>
              <w:t>.</w:t>
            </w:r>
          </w:p>
          <w:p w14:paraId="3A7794EA" w14:textId="77777777" w:rsidR="009D6580" w:rsidRPr="002A677E" w:rsidRDefault="009D6580" w:rsidP="00822842">
            <w:pPr>
              <w:rPr>
                <w:rFonts w:ascii="Times New Roman" w:hAnsi="Times New Roman"/>
                <w:b/>
                <w:sz w:val="24"/>
                <w:u w:val="single"/>
              </w:rPr>
            </w:pPr>
            <w:r>
              <w:rPr>
                <w:rFonts w:ascii="Times New Roman" w:hAnsi="Times New Roman"/>
                <w:sz w:val="24"/>
              </w:rPr>
              <w:t>Za izpostavljenosti iz naslova posebnih kreditnih aranžmajev, pri katerih je ocenjena PD, je poročana vrednost ocenjena ali regulativna LGD. Za izpostavljenosti iz naslova posebnih kreditnih aranžmajev iz člena 153(5) Uredbe (EU) št. 575/2013 se podatki ne morejo poročati, ker niso na voljo.</w:t>
            </w:r>
          </w:p>
        </w:tc>
      </w:tr>
      <w:tr w:rsidR="009D6580" w:rsidRPr="002A677E" w14:paraId="66756C12" w14:textId="77777777" w:rsidTr="00822842">
        <w:tc>
          <w:tcPr>
            <w:tcW w:w="1188" w:type="dxa"/>
          </w:tcPr>
          <w:p w14:paraId="317ECEC7"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640" w:type="dxa"/>
          </w:tcPr>
          <w:p w14:paraId="68CF6D3A" w14:textId="0D7835EE" w:rsidR="009D6580" w:rsidRPr="002A677E" w:rsidRDefault="00DF1C5D" w:rsidP="00822842">
            <w:pPr>
              <w:rPr>
                <w:rFonts w:ascii="Times New Roman" w:hAnsi="Times New Roman"/>
                <w:b/>
                <w:sz w:val="24"/>
                <w:u w:val="single"/>
              </w:rPr>
            </w:pPr>
            <w:r>
              <w:rPr>
                <w:rFonts w:ascii="Times New Roman" w:hAnsi="Times New Roman"/>
                <w:b/>
                <w:sz w:val="24"/>
                <w:u w:val="single"/>
              </w:rPr>
              <w:t xml:space="preserve">Od tega: </w:t>
            </w:r>
            <w:r w:rsidR="009D6580">
              <w:rPr>
                <w:rFonts w:ascii="Times New Roman" w:hAnsi="Times New Roman"/>
                <w:b/>
                <w:sz w:val="24"/>
                <w:u w:val="single"/>
              </w:rPr>
              <w:t>neplačane</w:t>
            </w:r>
          </w:p>
          <w:p w14:paraId="789E281A"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 xml:space="preserve">Z izpostavljenostjo tehtana LGD za izpostavljenosti, ki so bile razvrščene kot neplačane izpostavljenosti v skladu s členom 178 </w:t>
            </w:r>
            <w:r>
              <w:rPr>
                <w:rFonts w:ascii="Times New Roman" w:hAnsi="Times New Roman"/>
                <w:sz w:val="24"/>
              </w:rPr>
              <w:t>Uredbe (EU) št. 575/2013.</w:t>
            </w:r>
          </w:p>
        </w:tc>
      </w:tr>
      <w:tr w:rsidR="009D6580" w:rsidRPr="002A677E" w14:paraId="187792F5" w14:textId="77777777" w:rsidTr="00822842">
        <w:tc>
          <w:tcPr>
            <w:tcW w:w="1188" w:type="dxa"/>
          </w:tcPr>
          <w:p w14:paraId="41BFEDD8" w14:textId="77777777" w:rsidR="009D6580" w:rsidRPr="002A677E" w:rsidRDefault="009D6580" w:rsidP="00822842">
            <w:pPr>
              <w:rPr>
                <w:rFonts w:ascii="Times New Roman" w:hAnsi="Times New Roman"/>
                <w:sz w:val="24"/>
              </w:rPr>
            </w:pPr>
            <w:r>
              <w:rPr>
                <w:rFonts w:ascii="Times New Roman" w:hAnsi="Times New Roman"/>
                <w:sz w:val="24"/>
              </w:rPr>
              <w:t>0105</w:t>
            </w:r>
          </w:p>
        </w:tc>
        <w:tc>
          <w:tcPr>
            <w:tcW w:w="8640" w:type="dxa"/>
          </w:tcPr>
          <w:p w14:paraId="7B14423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Vrednost izpostavljenosti</w:t>
            </w:r>
          </w:p>
          <w:p w14:paraId="533E4F5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Enaka opredelitev kot za stolpec 0110 predloge CR IRB.</w:t>
            </w:r>
          </w:p>
        </w:tc>
      </w:tr>
      <w:tr w:rsidR="009D6580" w:rsidRPr="002A677E" w14:paraId="48402149" w14:textId="77777777" w:rsidTr="00822842">
        <w:tc>
          <w:tcPr>
            <w:tcW w:w="1188" w:type="dxa"/>
          </w:tcPr>
          <w:p w14:paraId="3E4D7142" w14:textId="77777777" w:rsidR="009D6580" w:rsidRPr="002A677E" w:rsidRDefault="009D6580" w:rsidP="00822842">
            <w:pPr>
              <w:rPr>
                <w:rFonts w:ascii="Times New Roman" w:hAnsi="Times New Roman"/>
                <w:sz w:val="24"/>
              </w:rPr>
            </w:pPr>
            <w:r>
              <w:rPr>
                <w:rFonts w:ascii="Times New Roman" w:hAnsi="Times New Roman"/>
                <w:sz w:val="24"/>
              </w:rPr>
              <w:t>0110</w:t>
            </w:r>
          </w:p>
        </w:tc>
        <w:tc>
          <w:tcPr>
            <w:tcW w:w="8640" w:type="dxa"/>
          </w:tcPr>
          <w:p w14:paraId="3BFEC9E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ZNESEK TVEGANJU PRILAGOJENIH IZPOSTAVLJENOSTI PRED UPORABO FAKTORJEV ZA PODPORO</w:t>
            </w:r>
          </w:p>
          <w:p w14:paraId="38950726"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Enaka opredelitev kot za stolpec 0255 predloge CR IRB.</w:t>
            </w:r>
          </w:p>
        </w:tc>
      </w:tr>
      <w:tr w:rsidR="009D6580" w:rsidRPr="002A677E" w14:paraId="321AA4CE" w14:textId="77777777" w:rsidTr="00822842">
        <w:tc>
          <w:tcPr>
            <w:tcW w:w="1188" w:type="dxa"/>
          </w:tcPr>
          <w:p w14:paraId="5F49B73F" w14:textId="77777777" w:rsidR="009D6580" w:rsidRPr="002A677E" w:rsidRDefault="009D6580" w:rsidP="00822842">
            <w:pPr>
              <w:rPr>
                <w:rFonts w:ascii="Times New Roman" w:hAnsi="Times New Roman"/>
                <w:sz w:val="24"/>
              </w:rPr>
            </w:pPr>
            <w:r>
              <w:rPr>
                <w:rFonts w:ascii="Times New Roman" w:hAnsi="Times New Roman"/>
                <w:sz w:val="24"/>
              </w:rPr>
              <w:lastRenderedPageBreak/>
              <w:t>0120</w:t>
            </w:r>
          </w:p>
        </w:tc>
        <w:tc>
          <w:tcPr>
            <w:tcW w:w="8640" w:type="dxa"/>
          </w:tcPr>
          <w:p w14:paraId="2A07E1E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Od tega: neplačane</w:t>
            </w:r>
          </w:p>
          <w:p w14:paraId="0B72119F"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Znesek tveganju prilagojenih izpostavljenosti za izpostavljenosti, ki so bile razvrščene kot neplačane izpostavljenosti v skladu s členom 178(1)</w:t>
            </w:r>
            <w:r>
              <w:rPr>
                <w:rFonts w:ascii="Times New Roman" w:hAnsi="Times New Roman"/>
                <w:sz w:val="24"/>
              </w:rPr>
              <w:t xml:space="preserve"> Uredbe (EU) št. 575/2013.</w:t>
            </w:r>
          </w:p>
        </w:tc>
      </w:tr>
      <w:tr w:rsidR="009D6580" w:rsidRPr="002A677E" w14:paraId="4F58B17C" w14:textId="77777777" w:rsidTr="00822842">
        <w:tc>
          <w:tcPr>
            <w:tcW w:w="1188" w:type="dxa"/>
          </w:tcPr>
          <w:p w14:paraId="43313479" w14:textId="77777777" w:rsidR="009D6580" w:rsidRPr="002A677E" w:rsidRDefault="009D6580" w:rsidP="00822842">
            <w:pPr>
              <w:rPr>
                <w:rFonts w:ascii="Times New Roman" w:hAnsi="Times New Roman"/>
                <w:sz w:val="24"/>
              </w:rPr>
            </w:pPr>
            <w:r>
              <w:rPr>
                <w:rFonts w:ascii="Times New Roman" w:hAnsi="Times New Roman"/>
                <w:sz w:val="24"/>
              </w:rPr>
              <w:t>0121</w:t>
            </w:r>
          </w:p>
        </w:tc>
        <w:tc>
          <w:tcPr>
            <w:tcW w:w="8640" w:type="dxa"/>
          </w:tcPr>
          <w:p w14:paraId="51B6E44A"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PRILAGODITEV ZNESKA TVEGANJU PRILAGOJENIH IZPOSTAVLJENOSTI ZARADI FAKTORJA ZA PODPORO MSP</w:t>
            </w:r>
          </w:p>
          <w:p w14:paraId="7060DF05"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Enaka opredelitev kot za stolpec 0256 predloge CR IRB.</w:t>
            </w:r>
          </w:p>
        </w:tc>
      </w:tr>
      <w:tr w:rsidR="009D6580" w:rsidRPr="002A677E" w14:paraId="6DA9FCB6" w14:textId="77777777" w:rsidTr="00822842">
        <w:tc>
          <w:tcPr>
            <w:tcW w:w="1188" w:type="dxa"/>
          </w:tcPr>
          <w:p w14:paraId="189DC6D4" w14:textId="77777777" w:rsidR="009D6580" w:rsidRPr="002A677E" w:rsidRDefault="009D6580" w:rsidP="00822842">
            <w:pPr>
              <w:rPr>
                <w:rFonts w:ascii="Times New Roman" w:hAnsi="Times New Roman"/>
                <w:sz w:val="24"/>
              </w:rPr>
            </w:pPr>
            <w:r>
              <w:rPr>
                <w:rFonts w:ascii="Times New Roman" w:hAnsi="Times New Roman"/>
                <w:sz w:val="24"/>
              </w:rPr>
              <w:t>0122</w:t>
            </w:r>
          </w:p>
        </w:tc>
        <w:tc>
          <w:tcPr>
            <w:tcW w:w="8640" w:type="dxa"/>
          </w:tcPr>
          <w:p w14:paraId="77E17241"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PRILAGODITEV ZNESKA TVEGANJU PRILAGOJENIH IZPOSTAVLJENOSTI ZARADI FAKTORJA ZA PODPORO INFRASTRUKTURNIM PROJEKTOM</w:t>
            </w:r>
          </w:p>
          <w:p w14:paraId="1EE90D25"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Enaka opredelitev kot za stolpec 0257 predloge CR IRB.</w:t>
            </w:r>
          </w:p>
        </w:tc>
      </w:tr>
      <w:tr w:rsidR="009D6580" w:rsidRPr="002A677E" w14:paraId="0A79EDF4" w14:textId="77777777" w:rsidTr="00822842">
        <w:tc>
          <w:tcPr>
            <w:tcW w:w="1188" w:type="dxa"/>
          </w:tcPr>
          <w:p w14:paraId="2D50BBC4" w14:textId="77777777" w:rsidR="009D6580" w:rsidRPr="002A677E" w:rsidRDefault="009D6580" w:rsidP="00822842">
            <w:pPr>
              <w:rPr>
                <w:rFonts w:ascii="Times New Roman" w:hAnsi="Times New Roman"/>
                <w:sz w:val="24"/>
              </w:rPr>
            </w:pPr>
            <w:r>
              <w:rPr>
                <w:rFonts w:ascii="Times New Roman" w:hAnsi="Times New Roman"/>
                <w:sz w:val="24"/>
              </w:rPr>
              <w:t>0125</w:t>
            </w:r>
          </w:p>
        </w:tc>
        <w:tc>
          <w:tcPr>
            <w:tcW w:w="8640" w:type="dxa"/>
          </w:tcPr>
          <w:p w14:paraId="0D402C8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ZNESEK TVEGANJU PRILAGOJENIH IZPOSTAVLJENOSTI PO UPORABI FAKTORJEV ZA PODPORO</w:t>
            </w:r>
          </w:p>
          <w:p w14:paraId="71F977E8"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Enaka opredelitev kot za stolpec 0260 predloge CR IRB.</w:t>
            </w:r>
          </w:p>
        </w:tc>
      </w:tr>
      <w:tr w:rsidR="009D6580" w:rsidRPr="002A677E" w14:paraId="058051CC" w14:textId="77777777" w:rsidTr="00822842">
        <w:tc>
          <w:tcPr>
            <w:tcW w:w="1188" w:type="dxa"/>
          </w:tcPr>
          <w:p w14:paraId="02AA680F" w14:textId="77777777" w:rsidR="009D6580" w:rsidRPr="002A677E" w:rsidRDefault="009D6580" w:rsidP="00822842">
            <w:pPr>
              <w:rPr>
                <w:rFonts w:ascii="Times New Roman" w:hAnsi="Times New Roman"/>
                <w:sz w:val="24"/>
              </w:rPr>
            </w:pPr>
            <w:r>
              <w:rPr>
                <w:rFonts w:ascii="Times New Roman" w:hAnsi="Times New Roman"/>
                <w:sz w:val="24"/>
              </w:rPr>
              <w:t>0130</w:t>
            </w:r>
          </w:p>
        </w:tc>
        <w:tc>
          <w:tcPr>
            <w:tcW w:w="8640" w:type="dxa"/>
          </w:tcPr>
          <w:p w14:paraId="5E66C6B0"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ZNESEK PRIČAKOVANE IZGUBE</w:t>
            </w:r>
          </w:p>
          <w:p w14:paraId="27E13378"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Enaka opredelitev kot za stolpec 0280 predloge CR IRB.</w:t>
            </w:r>
          </w:p>
        </w:tc>
      </w:tr>
    </w:tbl>
    <w:p w14:paraId="26CEB25D" w14:textId="77777777" w:rsidR="009D6580" w:rsidRPr="002A677E" w:rsidRDefault="009D6580" w:rsidP="009D658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4378F7EC" w14:textId="77777777" w:rsidTr="00822842">
        <w:tc>
          <w:tcPr>
            <w:tcW w:w="1188" w:type="dxa"/>
            <w:shd w:val="clear" w:color="auto" w:fill="CCCCCC"/>
          </w:tcPr>
          <w:p w14:paraId="629D568D" w14:textId="77777777" w:rsidR="009D6580" w:rsidRPr="002A677E" w:rsidRDefault="009D6580" w:rsidP="00822842">
            <w:pPr>
              <w:rPr>
                <w:rFonts w:ascii="Times New Roman" w:hAnsi="Times New Roman"/>
                <w:b/>
                <w:sz w:val="24"/>
              </w:rPr>
            </w:pPr>
            <w:r>
              <w:rPr>
                <w:rFonts w:ascii="Times New Roman" w:hAnsi="Times New Roman"/>
                <w:b/>
                <w:sz w:val="24"/>
              </w:rPr>
              <w:t>Vrstice</w:t>
            </w:r>
          </w:p>
        </w:tc>
        <w:tc>
          <w:tcPr>
            <w:tcW w:w="8640" w:type="dxa"/>
            <w:shd w:val="clear" w:color="auto" w:fill="CCCCCC"/>
          </w:tcPr>
          <w:p w14:paraId="490E44FA" w14:textId="77777777" w:rsidR="009D6580" w:rsidRPr="002A677E" w:rsidRDefault="009D6580" w:rsidP="00822842">
            <w:pPr>
              <w:ind w:left="72"/>
              <w:rPr>
                <w:rFonts w:ascii="Times New Roman" w:hAnsi="Times New Roman"/>
                <w:sz w:val="24"/>
              </w:rPr>
            </w:pPr>
          </w:p>
        </w:tc>
      </w:tr>
      <w:tr w:rsidR="009D6580" w:rsidRPr="002A677E" w14:paraId="41D216F1" w14:textId="77777777" w:rsidTr="00822842">
        <w:tc>
          <w:tcPr>
            <w:tcW w:w="1188" w:type="dxa"/>
          </w:tcPr>
          <w:p w14:paraId="12CBEF0E" w14:textId="77777777" w:rsidR="009D6580" w:rsidRPr="002A677E" w:rsidRDefault="009D6580" w:rsidP="00822842">
            <w:pPr>
              <w:rPr>
                <w:rFonts w:ascii="Times New Roman" w:hAnsi="Times New Roman"/>
                <w:sz w:val="24"/>
              </w:rPr>
            </w:pPr>
            <w:r>
              <w:rPr>
                <w:rFonts w:ascii="Times New Roman" w:hAnsi="Times New Roman"/>
                <w:sz w:val="24"/>
              </w:rPr>
              <w:t>0010</w:t>
            </w:r>
          </w:p>
        </w:tc>
        <w:tc>
          <w:tcPr>
            <w:tcW w:w="8640" w:type="dxa"/>
          </w:tcPr>
          <w:p w14:paraId="349EA92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xml:space="preserve">Enote centralne ravni držav in centralnih bank </w:t>
            </w:r>
          </w:p>
          <w:p w14:paraId="45CC186E" w14:textId="77777777" w:rsidR="009D6580" w:rsidRPr="002A677E" w:rsidRDefault="009D6580" w:rsidP="00822842">
            <w:pPr>
              <w:rPr>
                <w:rFonts w:ascii="Times New Roman" w:hAnsi="Times New Roman"/>
                <w:sz w:val="24"/>
              </w:rPr>
            </w:pPr>
            <w:r>
              <w:rPr>
                <w:rFonts w:ascii="Times New Roman" w:hAnsi="Times New Roman"/>
                <w:sz w:val="24"/>
              </w:rPr>
              <w:t>Člen 147(2), točka (a), Uredbe (EU) št. 575/2013.</w:t>
            </w:r>
          </w:p>
        </w:tc>
      </w:tr>
      <w:tr w:rsidR="009D6580" w:rsidRPr="002A677E" w14:paraId="6125B13A" w14:textId="77777777" w:rsidTr="00822842">
        <w:tc>
          <w:tcPr>
            <w:tcW w:w="1188" w:type="dxa"/>
            <w:shd w:val="clear" w:color="auto" w:fill="auto"/>
          </w:tcPr>
          <w:p w14:paraId="33C6F35E" w14:textId="77777777" w:rsidR="009D6580" w:rsidRPr="002A677E" w:rsidRDefault="009D6580" w:rsidP="00822842">
            <w:pPr>
              <w:rPr>
                <w:rFonts w:ascii="Times New Roman" w:hAnsi="Times New Roman"/>
                <w:sz w:val="24"/>
              </w:rPr>
            </w:pPr>
            <w:r>
              <w:rPr>
                <w:rFonts w:ascii="Times New Roman" w:hAnsi="Times New Roman"/>
                <w:sz w:val="24"/>
              </w:rPr>
              <w:t>0011</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273327D" w14:textId="0818C318" w:rsidR="009D6580" w:rsidRDefault="00DF1C5D" w:rsidP="00822842">
            <w:pPr>
              <w:rPr>
                <w:rFonts w:ascii="Times New Roman" w:hAnsi="Times New Roman"/>
                <w:b/>
                <w:sz w:val="24"/>
                <w:u w:val="single"/>
              </w:rPr>
            </w:pPr>
            <w:r>
              <w:rPr>
                <w:rFonts w:ascii="Times New Roman" w:hAnsi="Times New Roman"/>
                <w:b/>
                <w:sz w:val="24"/>
                <w:u w:val="single"/>
              </w:rPr>
              <w:t xml:space="preserve">Od tega: </w:t>
            </w:r>
            <w:r w:rsidR="009D6580">
              <w:rPr>
                <w:rFonts w:ascii="Times New Roman" w:hAnsi="Times New Roman"/>
                <w:b/>
                <w:sz w:val="24"/>
                <w:u w:val="single"/>
              </w:rPr>
              <w:t>enote regionalne ali lokalne ravni držav</w:t>
            </w:r>
          </w:p>
          <w:p w14:paraId="4864E157" w14:textId="77777777" w:rsidR="009D6580" w:rsidRPr="002A677E" w:rsidRDefault="009D6580" w:rsidP="00822842">
            <w:pPr>
              <w:rPr>
                <w:rFonts w:ascii="Times New Roman" w:hAnsi="Times New Roman"/>
                <w:b/>
                <w:sz w:val="24"/>
                <w:u w:val="single"/>
              </w:rPr>
            </w:pPr>
            <w:r>
              <w:rPr>
                <w:rFonts w:ascii="Times New Roman" w:hAnsi="Times New Roman"/>
                <w:sz w:val="24"/>
              </w:rPr>
              <w:t>Člen 147(3a) Uredbe (EU) št. 575/2013.</w:t>
            </w:r>
          </w:p>
        </w:tc>
      </w:tr>
      <w:tr w:rsidR="009D6580" w:rsidRPr="002A677E" w14:paraId="57997C4B" w14:textId="77777777" w:rsidTr="00822842">
        <w:tc>
          <w:tcPr>
            <w:tcW w:w="1188" w:type="dxa"/>
            <w:shd w:val="clear" w:color="auto" w:fill="auto"/>
          </w:tcPr>
          <w:p w14:paraId="7E0CEA1D" w14:textId="77777777" w:rsidR="009D6580" w:rsidRPr="002A677E" w:rsidRDefault="009D6580" w:rsidP="00822842">
            <w:pPr>
              <w:rPr>
                <w:rFonts w:ascii="Times New Roman" w:hAnsi="Times New Roman"/>
                <w:sz w:val="24"/>
              </w:rPr>
            </w:pPr>
            <w:r>
              <w:rPr>
                <w:rFonts w:ascii="Times New Roman" w:hAnsi="Times New Roman"/>
                <w:sz w:val="24"/>
              </w:rPr>
              <w:t>0012</w:t>
            </w:r>
          </w:p>
        </w:tc>
        <w:tc>
          <w:tcPr>
            <w:tcW w:w="8640" w:type="dxa"/>
            <w:tcBorders>
              <w:top w:val="nil"/>
              <w:left w:val="single" w:sz="4" w:space="0" w:color="auto"/>
              <w:bottom w:val="single" w:sz="4" w:space="0" w:color="auto"/>
              <w:right w:val="single" w:sz="4" w:space="0" w:color="auto"/>
            </w:tcBorders>
            <w:shd w:val="clear" w:color="auto" w:fill="auto"/>
            <w:vAlign w:val="center"/>
          </w:tcPr>
          <w:p w14:paraId="507E57E4" w14:textId="77777777" w:rsidR="009D6580" w:rsidRDefault="009D6580" w:rsidP="00822842">
            <w:pPr>
              <w:rPr>
                <w:rFonts w:ascii="Times New Roman" w:hAnsi="Times New Roman"/>
                <w:b/>
                <w:sz w:val="24"/>
                <w:u w:val="single"/>
              </w:rPr>
            </w:pPr>
            <w:r>
              <w:rPr>
                <w:rFonts w:ascii="Times New Roman" w:hAnsi="Times New Roman"/>
                <w:b/>
                <w:sz w:val="24"/>
                <w:u w:val="single"/>
              </w:rPr>
              <w:t>Enote regionalne ali lokalne ravni držav</w:t>
            </w:r>
          </w:p>
          <w:p w14:paraId="19FE9B53" w14:textId="77777777" w:rsidR="009D6580" w:rsidRPr="002A677E" w:rsidRDefault="009D6580" w:rsidP="00822842">
            <w:pPr>
              <w:rPr>
                <w:rFonts w:ascii="Times New Roman" w:hAnsi="Times New Roman"/>
                <w:b/>
                <w:sz w:val="24"/>
                <w:u w:val="single"/>
              </w:rPr>
            </w:pPr>
            <w:r>
              <w:rPr>
                <w:rFonts w:ascii="Times New Roman" w:hAnsi="Times New Roman"/>
                <w:sz w:val="24"/>
              </w:rPr>
              <w:t>Člen 147(2), točka (a1)(i), Uredbe (EU) št. 575/2013.</w:t>
            </w:r>
          </w:p>
        </w:tc>
      </w:tr>
      <w:tr w:rsidR="009D6580" w:rsidRPr="002A677E" w14:paraId="756631BD" w14:textId="77777777" w:rsidTr="00822842">
        <w:tc>
          <w:tcPr>
            <w:tcW w:w="1188" w:type="dxa"/>
            <w:shd w:val="clear" w:color="auto" w:fill="auto"/>
          </w:tcPr>
          <w:p w14:paraId="36422B7A" w14:textId="77777777" w:rsidR="009D6580" w:rsidRPr="002A677E" w:rsidRDefault="009D6580" w:rsidP="00822842">
            <w:pPr>
              <w:rPr>
                <w:rFonts w:ascii="Times New Roman" w:hAnsi="Times New Roman"/>
                <w:sz w:val="24"/>
              </w:rPr>
            </w:pPr>
            <w:r>
              <w:rPr>
                <w:rFonts w:ascii="Times New Roman" w:hAnsi="Times New Roman"/>
                <w:sz w:val="24"/>
              </w:rPr>
              <w:t>0013</w:t>
            </w:r>
          </w:p>
        </w:tc>
        <w:tc>
          <w:tcPr>
            <w:tcW w:w="8640" w:type="dxa"/>
            <w:tcBorders>
              <w:top w:val="nil"/>
              <w:left w:val="single" w:sz="4" w:space="0" w:color="auto"/>
              <w:bottom w:val="single" w:sz="4" w:space="0" w:color="auto"/>
              <w:right w:val="single" w:sz="4" w:space="0" w:color="auto"/>
            </w:tcBorders>
            <w:shd w:val="clear" w:color="auto" w:fill="auto"/>
            <w:vAlign w:val="center"/>
          </w:tcPr>
          <w:p w14:paraId="238AC62E" w14:textId="77777777" w:rsidR="009D6580" w:rsidRDefault="009D6580" w:rsidP="00822842">
            <w:pPr>
              <w:rPr>
                <w:rFonts w:ascii="Times New Roman" w:hAnsi="Times New Roman"/>
                <w:b/>
                <w:sz w:val="24"/>
                <w:u w:val="single"/>
              </w:rPr>
            </w:pPr>
            <w:r>
              <w:rPr>
                <w:rFonts w:ascii="Times New Roman" w:hAnsi="Times New Roman"/>
                <w:b/>
                <w:sz w:val="24"/>
                <w:u w:val="single"/>
              </w:rPr>
              <w:t xml:space="preserve">Subjekti javnega sektorja </w:t>
            </w:r>
          </w:p>
          <w:p w14:paraId="1DE1AAE7" w14:textId="77777777" w:rsidR="009D6580" w:rsidRPr="002A677E" w:rsidRDefault="009D6580" w:rsidP="00822842">
            <w:pPr>
              <w:rPr>
                <w:rFonts w:ascii="Times New Roman" w:hAnsi="Times New Roman"/>
                <w:b/>
                <w:sz w:val="24"/>
                <w:u w:val="single"/>
              </w:rPr>
            </w:pPr>
            <w:r>
              <w:rPr>
                <w:rFonts w:ascii="Times New Roman" w:hAnsi="Times New Roman"/>
                <w:sz w:val="24"/>
              </w:rPr>
              <w:t>Člen 147(2), točka (a1)(ii), Uredbe (EU) št. 575/2013.</w:t>
            </w:r>
          </w:p>
        </w:tc>
      </w:tr>
      <w:tr w:rsidR="009D6580" w:rsidRPr="002A677E" w14:paraId="0C55C95D" w14:textId="77777777" w:rsidTr="00822842">
        <w:tc>
          <w:tcPr>
            <w:tcW w:w="1188" w:type="dxa"/>
          </w:tcPr>
          <w:p w14:paraId="6C8F06FC"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640" w:type="dxa"/>
          </w:tcPr>
          <w:p w14:paraId="460BDDF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Institucije</w:t>
            </w:r>
          </w:p>
          <w:p w14:paraId="504F46A3" w14:textId="77777777" w:rsidR="009D6580" w:rsidRPr="002A677E" w:rsidRDefault="009D6580" w:rsidP="00822842">
            <w:pPr>
              <w:rPr>
                <w:rFonts w:ascii="Times New Roman" w:hAnsi="Times New Roman"/>
                <w:sz w:val="24"/>
              </w:rPr>
            </w:pPr>
            <w:r>
              <w:rPr>
                <w:rFonts w:ascii="Times New Roman" w:hAnsi="Times New Roman"/>
                <w:sz w:val="24"/>
              </w:rPr>
              <w:t>Člen 147(2), točka (b), Uredbe (EU) št. 575/2013.</w:t>
            </w:r>
          </w:p>
        </w:tc>
      </w:tr>
      <w:tr w:rsidR="009D6580" w:rsidRPr="002A677E" w14:paraId="2B29BE20" w14:textId="77777777" w:rsidTr="00822842">
        <w:tc>
          <w:tcPr>
            <w:tcW w:w="1188" w:type="dxa"/>
          </w:tcPr>
          <w:p w14:paraId="521AA8B6"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640" w:type="dxa"/>
          </w:tcPr>
          <w:p w14:paraId="63C7233C"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xml:space="preserve">Podjetja </w:t>
            </w:r>
          </w:p>
          <w:p w14:paraId="699F9BD2"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Vse izpostavljenosti do podjetij iz člena 147(2), točka (c), Uredbe (EU) št. 575/2013.</w:t>
            </w:r>
          </w:p>
        </w:tc>
      </w:tr>
      <w:tr w:rsidR="009D6580" w:rsidRPr="002A677E" w14:paraId="55C3FE5A" w14:textId="77777777" w:rsidTr="00822842">
        <w:tc>
          <w:tcPr>
            <w:tcW w:w="1188" w:type="dxa"/>
          </w:tcPr>
          <w:p w14:paraId="198D8F58" w14:textId="77777777" w:rsidR="009D6580" w:rsidRPr="002A677E" w:rsidRDefault="009D6580" w:rsidP="00822842">
            <w:pPr>
              <w:rPr>
                <w:rFonts w:ascii="Times New Roman" w:hAnsi="Times New Roman"/>
                <w:sz w:val="24"/>
              </w:rPr>
            </w:pPr>
            <w:r>
              <w:rPr>
                <w:rFonts w:ascii="Times New Roman" w:hAnsi="Times New Roman"/>
                <w:sz w:val="24"/>
              </w:rPr>
              <w:t>0050</w:t>
            </w:r>
          </w:p>
        </w:tc>
        <w:tc>
          <w:tcPr>
            <w:tcW w:w="8640" w:type="dxa"/>
          </w:tcPr>
          <w:p w14:paraId="66C0F4F0" w14:textId="7CE958BC" w:rsidR="009D6580" w:rsidRPr="002A677E" w:rsidRDefault="00DF1C5D" w:rsidP="00822842">
            <w:pPr>
              <w:rPr>
                <w:rFonts w:ascii="Times New Roman" w:hAnsi="Times New Roman"/>
                <w:b/>
                <w:sz w:val="24"/>
                <w:u w:val="single"/>
              </w:rPr>
            </w:pPr>
            <w:r>
              <w:rPr>
                <w:rFonts w:ascii="Times New Roman" w:hAnsi="Times New Roman"/>
                <w:b/>
                <w:sz w:val="24"/>
                <w:u w:val="single"/>
              </w:rPr>
              <w:t xml:space="preserve">Od tega: </w:t>
            </w:r>
            <w:r w:rsidR="009D6580">
              <w:rPr>
                <w:rFonts w:ascii="Times New Roman" w:hAnsi="Times New Roman"/>
                <w:b/>
                <w:sz w:val="24"/>
                <w:u w:val="single"/>
              </w:rPr>
              <w:t>MSP</w:t>
            </w:r>
          </w:p>
          <w:p w14:paraId="13819074"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Člen 147(2), točka (c), Uredbe (EU) št. 575/2013.</w:t>
            </w:r>
          </w:p>
          <w:p w14:paraId="6C8F6FE1" w14:textId="408BCC75" w:rsidR="009D6580" w:rsidRPr="002A677E" w:rsidRDefault="009D6580"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Za namene razvrstitve v to kategorijo podizpostavljenosti subjekti, ki poročajo, uporabijo opredelitev MSP iz člena 5(8) Uredbe (EU) št. 575/2013. </w:t>
            </w:r>
          </w:p>
        </w:tc>
      </w:tr>
      <w:tr w:rsidR="00B56773" w:rsidRPr="00E47484" w14:paraId="1AB097A1"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5C36168F" w14:textId="1A066C7F" w:rsidR="00B56773" w:rsidRPr="002A677E" w:rsidRDefault="00B56773" w:rsidP="007400C4">
            <w:pPr>
              <w:rPr>
                <w:rFonts w:ascii="Times New Roman" w:hAnsi="Times New Roman"/>
                <w:sz w:val="24"/>
              </w:rPr>
            </w:pPr>
            <w:r>
              <w:rPr>
                <w:rFonts w:ascii="Times New Roman" w:hAnsi="Times New Roman"/>
                <w:sz w:val="24"/>
              </w:rPr>
              <w:lastRenderedPageBreak/>
              <w:t>0051</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20C6303" w14:textId="186621D5" w:rsidR="00B56773" w:rsidRDefault="00DF1C5D" w:rsidP="007400C4">
            <w:pPr>
              <w:rPr>
                <w:rFonts w:ascii="Times New Roman" w:hAnsi="Times New Roman"/>
                <w:b/>
                <w:sz w:val="24"/>
                <w:u w:val="single"/>
              </w:rPr>
            </w:pPr>
            <w:r>
              <w:rPr>
                <w:rFonts w:ascii="Times New Roman" w:hAnsi="Times New Roman"/>
                <w:b/>
                <w:sz w:val="24"/>
                <w:u w:val="single"/>
              </w:rPr>
              <w:t xml:space="preserve">Od tega: </w:t>
            </w:r>
            <w:r w:rsidR="00B56773">
              <w:rPr>
                <w:rFonts w:ascii="Times New Roman" w:hAnsi="Times New Roman"/>
                <w:b/>
                <w:sz w:val="24"/>
                <w:u w:val="single"/>
              </w:rPr>
              <w:t>velika podjetja</w:t>
            </w:r>
          </w:p>
          <w:p w14:paraId="503F359E" w14:textId="77777777" w:rsidR="00B56773" w:rsidRPr="00B56773" w:rsidRDefault="00B56773" w:rsidP="00B56773">
            <w:pPr>
              <w:rPr>
                <w:rFonts w:ascii="Times New Roman" w:hAnsi="Times New Roman"/>
                <w:bCs/>
                <w:sz w:val="24"/>
              </w:rPr>
            </w:pPr>
            <w:r>
              <w:rPr>
                <w:rFonts w:ascii="Times New Roman" w:hAnsi="Times New Roman"/>
                <w:sz w:val="24"/>
              </w:rPr>
              <w:t>Člen 147(2), točka (c), Uredbe (EU) št. 575/2013.</w:t>
            </w:r>
          </w:p>
          <w:p w14:paraId="23F8CBD6" w14:textId="77777777" w:rsidR="00B56773" w:rsidRPr="00E47484" w:rsidRDefault="00B56773" w:rsidP="007400C4">
            <w:pPr>
              <w:rPr>
                <w:rFonts w:ascii="Times New Roman" w:hAnsi="Times New Roman"/>
                <w:b/>
                <w:sz w:val="24"/>
                <w:u w:val="single"/>
              </w:rPr>
            </w:pPr>
            <w:r>
              <w:rPr>
                <w:rFonts w:ascii="Times New Roman" w:hAnsi="Times New Roman"/>
                <w:sz w:val="24"/>
              </w:rPr>
              <w:t>Za namene razvrstitve v to kategorijo podizpostavljenosti subjekti, ki poročajo, uporabijo opredelitev velikega podjetja iz člena 142(1), točka 5a, Uredbe (EU) št. 575/2013.</w:t>
            </w:r>
            <w:r>
              <w:rPr>
                <w:rFonts w:ascii="Times New Roman" w:hAnsi="Times New Roman"/>
                <w:b/>
                <w:sz w:val="24"/>
                <w:u w:val="single"/>
              </w:rPr>
              <w:t xml:space="preserve"> </w:t>
            </w:r>
          </w:p>
        </w:tc>
      </w:tr>
      <w:tr w:rsidR="00B56773" w:rsidRPr="00E47484" w:rsidDel="000306F2" w14:paraId="58CAAB1D"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1A81F72A" w14:textId="4457DEBC" w:rsidR="00B56773" w:rsidRPr="002A677E" w:rsidDel="000306F2" w:rsidRDefault="00B56773" w:rsidP="007400C4">
            <w:pPr>
              <w:rPr>
                <w:rFonts w:ascii="Times New Roman" w:hAnsi="Times New Roman"/>
                <w:sz w:val="24"/>
              </w:rPr>
            </w:pPr>
            <w:r>
              <w:rPr>
                <w:rFonts w:ascii="Times New Roman" w:hAnsi="Times New Roman"/>
                <w:sz w:val="24"/>
              </w:rPr>
              <w:t>0052</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6F3C653" w14:textId="0225B19B" w:rsidR="00B56773" w:rsidRDefault="00B56773" w:rsidP="007400C4">
            <w:pPr>
              <w:rPr>
                <w:rFonts w:ascii="Times New Roman" w:hAnsi="Times New Roman"/>
                <w:b/>
                <w:sz w:val="24"/>
                <w:u w:val="single"/>
              </w:rPr>
            </w:pPr>
            <w:r>
              <w:rPr>
                <w:rFonts w:ascii="Times New Roman" w:hAnsi="Times New Roman"/>
                <w:b/>
                <w:sz w:val="24"/>
                <w:u w:val="single"/>
              </w:rPr>
              <w:t>Posebni kreditni aranžmaji</w:t>
            </w:r>
          </w:p>
          <w:p w14:paraId="510C1D3E" w14:textId="683EFC86" w:rsidR="00B56773" w:rsidRPr="00B56773" w:rsidDel="000306F2" w:rsidRDefault="00B56773" w:rsidP="007400C4">
            <w:pPr>
              <w:rPr>
                <w:rFonts w:ascii="Times New Roman" w:hAnsi="Times New Roman"/>
                <w:bCs/>
                <w:sz w:val="24"/>
              </w:rPr>
            </w:pPr>
            <w:r>
              <w:rPr>
                <w:rFonts w:ascii="Times New Roman" w:hAnsi="Times New Roman"/>
                <w:sz w:val="24"/>
              </w:rPr>
              <w:t>Člen 147(2), točka (c)(ii), Uredbe (EU) št. 575/2013. 1.</w:t>
            </w:r>
          </w:p>
        </w:tc>
      </w:tr>
      <w:tr w:rsidR="00B56773" w:rsidRPr="00E47484" w14:paraId="36179D5A" w14:textId="77777777" w:rsidTr="00822842">
        <w:tc>
          <w:tcPr>
            <w:tcW w:w="1188" w:type="dxa"/>
            <w:shd w:val="clear" w:color="auto" w:fill="auto"/>
          </w:tcPr>
          <w:p w14:paraId="7AF18366" w14:textId="6A1B1DDE" w:rsidR="00B56773" w:rsidRPr="72FDE0D4" w:rsidRDefault="00B56773" w:rsidP="00822842">
            <w:pPr>
              <w:rPr>
                <w:rFonts w:ascii="Times New Roman" w:hAnsi="Times New Roman"/>
                <w:sz w:val="24"/>
              </w:rPr>
            </w:pPr>
            <w:r>
              <w:rPr>
                <w:rFonts w:ascii="Times New Roman" w:hAnsi="Times New Roman"/>
                <w:sz w:val="24"/>
              </w:rPr>
              <w:t>0053–0056</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59DCF836" w14:textId="6CF7767D" w:rsidR="00B56773" w:rsidRPr="00021099" w:rsidRDefault="00B56773" w:rsidP="00B56773">
            <w:pPr>
              <w:rPr>
                <w:rFonts w:ascii="Times New Roman" w:hAnsi="Times New Roman"/>
                <w:b/>
                <w:sz w:val="24"/>
              </w:rPr>
            </w:pPr>
            <w:r>
              <w:rPr>
                <w:rFonts w:ascii="Times New Roman" w:hAnsi="Times New Roman"/>
                <w:b/>
                <w:sz w:val="24"/>
                <w:u w:val="single"/>
              </w:rPr>
              <w:t>Posebni kreditni aranžmaji</w:t>
            </w:r>
            <w:r>
              <w:rPr>
                <w:rFonts w:ascii="Times New Roman" w:hAnsi="Times New Roman"/>
                <w:b/>
                <w:sz w:val="24"/>
              </w:rPr>
              <w:t xml:space="preserve"> – vrste izpostavljenosti iz naslova posebnih kreditnih aranžmajev</w:t>
            </w:r>
          </w:p>
          <w:p w14:paraId="1E4AC942" w14:textId="49F536D6" w:rsidR="00B56773" w:rsidRPr="00F16E4D" w:rsidRDefault="00B56773" w:rsidP="00822842">
            <w:pPr>
              <w:rPr>
                <w:rFonts w:ascii="Times New Roman" w:hAnsi="Times New Roman"/>
                <w:bCs/>
                <w:sz w:val="24"/>
              </w:rPr>
            </w:pPr>
            <w:r>
              <w:rPr>
                <w:rFonts w:ascii="Times New Roman" w:hAnsi="Times New Roman"/>
                <w:sz w:val="24"/>
              </w:rPr>
              <w:t>Institucije poročajo o vrstah izpostavljenosti iz naslova posebnih kreditnih aranžmajev iz člena 147(8), pododstavek 2, v ustreznih vrsticah: posebni kreditni aranžmaji „financiranje projektov“, „financiranje  premičnega premoženja“, „financiranje blaga“ in „nepremičnine, ki ustvarjajo dohodke (IPRE)“.</w:t>
            </w:r>
          </w:p>
        </w:tc>
      </w:tr>
      <w:tr w:rsidR="009D6580" w:rsidRPr="00E47484" w14:paraId="1E272EAA" w14:textId="77777777" w:rsidTr="00822842">
        <w:tc>
          <w:tcPr>
            <w:tcW w:w="1188" w:type="dxa"/>
            <w:shd w:val="clear" w:color="auto" w:fill="auto"/>
          </w:tcPr>
          <w:p w14:paraId="5B01A706" w14:textId="2033B95F" w:rsidR="009D6580" w:rsidRPr="002A677E" w:rsidRDefault="009D6580" w:rsidP="00822842">
            <w:pPr>
              <w:rPr>
                <w:rFonts w:ascii="Times New Roman" w:hAnsi="Times New Roman"/>
                <w:sz w:val="24"/>
              </w:rPr>
            </w:pPr>
            <w:r>
              <w:rPr>
                <w:rFonts w:ascii="Times New Roman" w:hAnsi="Times New Roman"/>
                <w:sz w:val="24"/>
              </w:rPr>
              <w:t>0057</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9717355" w14:textId="38752705" w:rsidR="009D6580" w:rsidRDefault="009D6580" w:rsidP="00822842">
            <w:pPr>
              <w:rPr>
                <w:rFonts w:ascii="Times New Roman" w:hAnsi="Times New Roman"/>
                <w:b/>
                <w:sz w:val="24"/>
                <w:u w:val="single"/>
              </w:rPr>
            </w:pPr>
            <w:r>
              <w:rPr>
                <w:rFonts w:ascii="Times New Roman" w:hAnsi="Times New Roman"/>
                <w:b/>
                <w:sz w:val="24"/>
                <w:u w:val="single"/>
              </w:rPr>
              <w:t>Odkupljene denarne terjatve</w:t>
            </w:r>
          </w:p>
          <w:p w14:paraId="40628222" w14:textId="77777777" w:rsidR="009D6580" w:rsidRPr="00E47484" w:rsidRDefault="009D6580" w:rsidP="00822842">
            <w:pPr>
              <w:rPr>
                <w:rFonts w:ascii="Times New Roman" w:hAnsi="Times New Roman"/>
                <w:b/>
                <w:sz w:val="24"/>
                <w:u w:val="single"/>
              </w:rPr>
            </w:pPr>
            <w:r>
              <w:rPr>
                <w:rFonts w:ascii="Times New Roman" w:hAnsi="Times New Roman"/>
                <w:sz w:val="24"/>
              </w:rPr>
              <w:t>Člen 147(2), točka (c)(iii), Uredbe (EU) št. 575/2013.</w:t>
            </w:r>
          </w:p>
        </w:tc>
      </w:tr>
      <w:tr w:rsidR="00F16E4D" w:rsidRPr="002A677E" w14:paraId="27B47EEA" w14:textId="77777777" w:rsidTr="00822842">
        <w:tc>
          <w:tcPr>
            <w:tcW w:w="1188" w:type="dxa"/>
          </w:tcPr>
          <w:p w14:paraId="329ABF25" w14:textId="3906F1E5" w:rsidR="00F16E4D" w:rsidRPr="002A677E" w:rsidRDefault="00F16E4D" w:rsidP="00822842">
            <w:pPr>
              <w:rPr>
                <w:rFonts w:ascii="Times New Roman" w:hAnsi="Times New Roman"/>
                <w:sz w:val="24"/>
              </w:rPr>
            </w:pPr>
            <w:r>
              <w:rPr>
                <w:rFonts w:ascii="Times New Roman" w:hAnsi="Times New Roman"/>
                <w:sz w:val="24"/>
              </w:rPr>
              <w:t>0058</w:t>
            </w:r>
          </w:p>
        </w:tc>
        <w:tc>
          <w:tcPr>
            <w:tcW w:w="8640" w:type="dxa"/>
          </w:tcPr>
          <w:p w14:paraId="27CFAA09" w14:textId="513D8D7F" w:rsidR="00F16E4D" w:rsidRDefault="00F16E4D" w:rsidP="00822842">
            <w:pPr>
              <w:rPr>
                <w:rFonts w:ascii="Times New Roman" w:hAnsi="Times New Roman"/>
                <w:b/>
                <w:sz w:val="24"/>
                <w:u w:val="single"/>
              </w:rPr>
            </w:pPr>
            <w:r>
              <w:rPr>
                <w:rFonts w:ascii="Times New Roman" w:hAnsi="Times New Roman"/>
                <w:b/>
                <w:sz w:val="24"/>
                <w:u w:val="single"/>
              </w:rPr>
              <w:t>Drugo</w:t>
            </w:r>
          </w:p>
          <w:p w14:paraId="75A3CB20" w14:textId="69737D7D" w:rsidR="00F16E4D" w:rsidRPr="002A677E" w:rsidRDefault="00F16E4D" w:rsidP="00822842">
            <w:pPr>
              <w:rPr>
                <w:rFonts w:ascii="Times New Roman" w:hAnsi="Times New Roman"/>
                <w:b/>
                <w:sz w:val="24"/>
                <w:u w:val="single"/>
              </w:rPr>
            </w:pPr>
            <w:r>
              <w:rPr>
                <w:rFonts w:ascii="Times New Roman" w:hAnsi="Times New Roman"/>
                <w:sz w:val="24"/>
              </w:rPr>
              <w:t>Člen 147(2), točka I(i), Uredbe (EU) št. 575/2013.</w:t>
            </w:r>
          </w:p>
        </w:tc>
      </w:tr>
      <w:tr w:rsidR="009D6580" w:rsidRPr="002A677E" w14:paraId="3CAC5C4A" w14:textId="77777777" w:rsidTr="00822842">
        <w:tc>
          <w:tcPr>
            <w:tcW w:w="1188" w:type="dxa"/>
          </w:tcPr>
          <w:p w14:paraId="50AFEE21"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084F36E4"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Izpostavljenosti na drobno</w:t>
            </w:r>
          </w:p>
          <w:p w14:paraId="61F98691" w14:textId="77777777" w:rsidR="009D6580" w:rsidRPr="002A677E" w:rsidRDefault="009D6580" w:rsidP="00822842">
            <w:pPr>
              <w:rPr>
                <w:rFonts w:ascii="Times New Roman" w:hAnsi="Times New Roman"/>
                <w:sz w:val="24"/>
              </w:rPr>
            </w:pPr>
            <w:r>
              <w:rPr>
                <w:rFonts w:ascii="Times New Roman" w:hAnsi="Times New Roman"/>
                <w:sz w:val="24"/>
              </w:rPr>
              <w:t>Vse izpostavljenosti na drobno iz člena 147(2), točka (d), Uredbe (EU) št. 575/2013.</w:t>
            </w:r>
          </w:p>
        </w:tc>
      </w:tr>
      <w:tr w:rsidR="009D6580" w:rsidRPr="002A677E" w14:paraId="3126FC45" w14:textId="77777777" w:rsidTr="00822842">
        <w:tc>
          <w:tcPr>
            <w:tcW w:w="1188" w:type="dxa"/>
          </w:tcPr>
          <w:p w14:paraId="3B5D6723"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094A84E8" w14:textId="475592E0" w:rsidR="009D6580" w:rsidRPr="002A677E" w:rsidRDefault="00DF1C5D" w:rsidP="00822842">
            <w:pPr>
              <w:rPr>
                <w:rFonts w:ascii="Times New Roman" w:hAnsi="Times New Roman"/>
                <w:b/>
                <w:sz w:val="24"/>
                <w:u w:val="single"/>
              </w:rPr>
            </w:pPr>
            <w:r>
              <w:rPr>
                <w:rFonts w:ascii="Times New Roman" w:hAnsi="Times New Roman"/>
                <w:b/>
                <w:sz w:val="24"/>
                <w:u w:val="single"/>
              </w:rPr>
              <w:t xml:space="preserve">Od tega: </w:t>
            </w:r>
            <w:r w:rsidR="005B37F0">
              <w:rPr>
                <w:rFonts w:ascii="Times New Roman" w:hAnsi="Times New Roman"/>
                <w:b/>
                <w:sz w:val="24"/>
                <w:u w:val="single"/>
              </w:rPr>
              <w:t>Izpostavljenosti na drobno – Zavarovane z nepremičninami</w:t>
            </w:r>
          </w:p>
          <w:p w14:paraId="35B1F6E7" w14:textId="4962CAD8" w:rsidR="00FD0F61" w:rsidRDefault="00FD0F61" w:rsidP="00822842">
            <w:pPr>
              <w:pStyle w:val="ListParagraph"/>
              <w:ind w:left="0"/>
              <w:rPr>
                <w:rFonts w:ascii="Times New Roman" w:hAnsi="Times New Roman"/>
                <w:sz w:val="24"/>
              </w:rPr>
            </w:pPr>
            <w:r>
              <w:rPr>
                <w:rFonts w:ascii="Times New Roman" w:hAnsi="Times New Roman"/>
                <w:sz w:val="24"/>
              </w:rPr>
              <w:t>Izpostavljenosti na drobno, kot so opredeljene v členu 147(2), točka (d), Uredbe (EU) št. 575/2013, ki so zavarovane z nepremičninami, kot so opredeljene v členu 4(1), točka 75, Uredbe (EU) št. 575/2013.</w:t>
            </w:r>
          </w:p>
          <w:p w14:paraId="0CD06107" w14:textId="22291817" w:rsidR="009D6580" w:rsidRPr="002A677E" w:rsidRDefault="00FD0F61" w:rsidP="00822842">
            <w:pPr>
              <w:pStyle w:val="ListParagraph"/>
              <w:ind w:left="0"/>
              <w:rPr>
                <w:rFonts w:ascii="Times New Roman" w:hAnsi="Times New Roman"/>
                <w:sz w:val="24"/>
              </w:rPr>
            </w:pPr>
            <w:r>
              <w:rPr>
                <w:rFonts w:ascii="Times New Roman" w:hAnsi="Times New Roman"/>
                <w:sz w:val="24"/>
              </w:rPr>
              <w:t>.</w:t>
            </w:r>
          </w:p>
        </w:tc>
      </w:tr>
      <w:tr w:rsidR="009D6580" w:rsidRPr="002A677E" w14:paraId="49CD7917" w14:textId="77777777" w:rsidTr="00822842">
        <w:tc>
          <w:tcPr>
            <w:tcW w:w="1188" w:type="dxa"/>
          </w:tcPr>
          <w:p w14:paraId="3FA8BBC8"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4738C3E5" w14:textId="7ED2CDDC" w:rsidR="009D6580" w:rsidRPr="002A677E" w:rsidRDefault="00DF1C5D" w:rsidP="00822842">
            <w:pPr>
              <w:rPr>
                <w:rFonts w:ascii="Times New Roman" w:hAnsi="Times New Roman"/>
                <w:b/>
                <w:sz w:val="24"/>
                <w:u w:val="single"/>
              </w:rPr>
            </w:pPr>
            <w:r>
              <w:rPr>
                <w:rFonts w:ascii="Times New Roman" w:hAnsi="Times New Roman"/>
                <w:b/>
                <w:sz w:val="24"/>
                <w:u w:val="single"/>
              </w:rPr>
              <w:t xml:space="preserve">Od tega: </w:t>
            </w:r>
            <w:r w:rsidR="00FD0F61">
              <w:rPr>
                <w:rFonts w:ascii="Times New Roman" w:hAnsi="Times New Roman"/>
                <w:b/>
                <w:sz w:val="24"/>
                <w:u w:val="single"/>
              </w:rPr>
              <w:t>MSP</w:t>
            </w:r>
          </w:p>
          <w:p w14:paraId="67BFF2AB" w14:textId="02FB7D89" w:rsidR="009D6580" w:rsidRPr="002A677E" w:rsidRDefault="00FD0F61" w:rsidP="00822842">
            <w:pPr>
              <w:pStyle w:val="ListParagraph"/>
              <w:ind w:left="0"/>
              <w:rPr>
                <w:rFonts w:ascii="Times New Roman" w:hAnsi="Times New Roman"/>
                <w:sz w:val="24"/>
              </w:rPr>
            </w:pPr>
            <w:r>
              <w:rPr>
                <w:rFonts w:ascii="Times New Roman" w:hAnsi="Times New Roman"/>
                <w:sz w:val="24"/>
              </w:rPr>
              <w:t xml:space="preserve">Izpostavljenosti na drobno, kot so opredeljene v členu 147(2), točka (d), Uredbe (EU) št. 575/2013, poročane pod postavkami B.6.1 do B.6.4, ki so zavarovane z nepremičninami, kot so opredeljene v členu 4(1), točka 75, Uredbe (EU) št. 575/2013, v povezavi s členom 5(8) Uredbe (EU) št. 575/2013. </w:t>
            </w:r>
          </w:p>
        </w:tc>
      </w:tr>
      <w:tr w:rsidR="009D6580" w:rsidRPr="00E47484" w14:paraId="7A63D877" w14:textId="77777777" w:rsidTr="00822842">
        <w:tc>
          <w:tcPr>
            <w:tcW w:w="1188" w:type="dxa"/>
            <w:shd w:val="clear" w:color="auto" w:fill="auto"/>
          </w:tcPr>
          <w:p w14:paraId="59E6C6E6"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640" w:type="dxa"/>
            <w:shd w:val="clear" w:color="auto" w:fill="auto"/>
          </w:tcPr>
          <w:p w14:paraId="05695520" w14:textId="75F7C45E" w:rsidR="009D6580" w:rsidRPr="00E47484" w:rsidRDefault="00DF1C5D" w:rsidP="00822842">
            <w:pPr>
              <w:rPr>
                <w:rFonts w:ascii="Times New Roman" w:hAnsi="Times New Roman"/>
                <w:b/>
                <w:sz w:val="24"/>
                <w:u w:val="single"/>
              </w:rPr>
            </w:pPr>
            <w:r>
              <w:rPr>
                <w:rFonts w:ascii="Times New Roman" w:hAnsi="Times New Roman"/>
                <w:b/>
                <w:sz w:val="24"/>
                <w:u w:val="single"/>
              </w:rPr>
              <w:t xml:space="preserve">Od tega: </w:t>
            </w:r>
            <w:r w:rsidR="00837F98">
              <w:rPr>
                <w:rFonts w:ascii="Times New Roman" w:hAnsi="Times New Roman"/>
                <w:b/>
                <w:sz w:val="24"/>
                <w:u w:val="single"/>
              </w:rPr>
              <w:t>Podjetja, ki niso MSP</w:t>
            </w:r>
          </w:p>
          <w:p w14:paraId="68647661" w14:textId="272EAD03" w:rsidR="00837F98" w:rsidRDefault="00837F98" w:rsidP="00234FB5">
            <w:pPr>
              <w:pStyle w:val="ListParagraph"/>
              <w:autoSpaceDE w:val="0"/>
              <w:autoSpaceDN w:val="0"/>
              <w:adjustRightInd w:val="0"/>
              <w:spacing w:before="0" w:after="0"/>
              <w:ind w:left="0"/>
              <w:jc w:val="left"/>
              <w:rPr>
                <w:rFonts w:ascii="Times New Roman" w:hAnsi="Times New Roman"/>
                <w:sz w:val="24"/>
              </w:rPr>
            </w:pPr>
            <w:r>
              <w:rPr>
                <w:rFonts w:ascii="Times New Roman" w:hAnsi="Times New Roman"/>
                <w:sz w:val="24"/>
              </w:rPr>
              <w:t>Izpostavljenosti na drobno, kot so opredeljene v členu 147(2), točka (d), Uredbe (EU) št. 575/2013, poročane pod postavkami B.6.1 do B.6.4, ki so zavarovane z nepremičninami, kot so opredeljene v členu 4(1), točka 75, Uredbe (EU) št. 575/2013, ne v povezavi s členom 5(8) Uredbe (EU) št. 575/2013.</w:t>
            </w:r>
          </w:p>
          <w:p w14:paraId="34F371DC" w14:textId="683F21EB" w:rsidR="009D6580" w:rsidRPr="00D10012" w:rsidRDefault="009D6580" w:rsidP="00822842">
            <w:pPr>
              <w:pStyle w:val="ListParagraph"/>
              <w:ind w:left="0"/>
              <w:rPr>
                <w:rFonts w:ascii="Times New Roman" w:hAnsi="Times New Roman"/>
                <w:bCs/>
                <w:sz w:val="24"/>
              </w:rPr>
            </w:pPr>
          </w:p>
        </w:tc>
      </w:tr>
      <w:tr w:rsidR="00910F63" w:rsidRPr="002A677E" w14:paraId="22110EE2" w14:textId="77777777" w:rsidTr="00910F63">
        <w:tc>
          <w:tcPr>
            <w:tcW w:w="1188" w:type="dxa"/>
            <w:tcBorders>
              <w:top w:val="single" w:sz="4" w:space="0" w:color="auto"/>
              <w:left w:val="single" w:sz="4" w:space="0" w:color="auto"/>
              <w:bottom w:val="single" w:sz="4" w:space="0" w:color="auto"/>
              <w:right w:val="single" w:sz="4" w:space="0" w:color="auto"/>
            </w:tcBorders>
            <w:shd w:val="clear" w:color="auto" w:fill="auto"/>
          </w:tcPr>
          <w:p w14:paraId="441A663B" w14:textId="49B20CE1" w:rsidR="00910F63" w:rsidRPr="002A677E" w:rsidRDefault="00910F63" w:rsidP="007400C4">
            <w:pPr>
              <w:rPr>
                <w:rFonts w:ascii="Times New Roman" w:hAnsi="Times New Roman"/>
                <w:sz w:val="24"/>
              </w:rPr>
            </w:pPr>
            <w:r>
              <w:rPr>
                <w:rFonts w:ascii="Times New Roman" w:hAnsi="Times New Roman"/>
                <w:sz w:val="24"/>
              </w:rPr>
              <w:lastRenderedPageBreak/>
              <w:t>0095</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D0C7BD" w14:textId="435F8765" w:rsidR="00910F63" w:rsidRPr="002A677E" w:rsidRDefault="00910F63" w:rsidP="007400C4">
            <w:pPr>
              <w:rPr>
                <w:rFonts w:ascii="Times New Roman" w:hAnsi="Times New Roman"/>
                <w:b/>
                <w:sz w:val="24"/>
                <w:u w:val="single"/>
              </w:rPr>
            </w:pPr>
            <w:r>
              <w:rPr>
                <w:rFonts w:ascii="Times New Roman" w:hAnsi="Times New Roman"/>
                <w:b/>
                <w:sz w:val="24"/>
                <w:u w:val="single"/>
              </w:rPr>
              <w:t>Zavarovane s stanovanjskimi nepremičninami</w:t>
            </w:r>
          </w:p>
          <w:p w14:paraId="3B8B837D" w14:textId="77777777" w:rsidR="00910F63" w:rsidRPr="00910F63" w:rsidRDefault="00910F63" w:rsidP="00910F63">
            <w:pPr>
              <w:rPr>
                <w:rFonts w:ascii="Times New Roman" w:hAnsi="Times New Roman"/>
                <w:bCs/>
                <w:sz w:val="24"/>
              </w:rPr>
            </w:pPr>
            <w:r>
              <w:rPr>
                <w:rFonts w:ascii="Times New Roman" w:hAnsi="Times New Roman"/>
                <w:sz w:val="24"/>
              </w:rPr>
              <w:t>Izpostavljenosti na drobno iz člena 147(2), točka (d)(ii), Uredbe (EU) št. 575/2013.</w:t>
            </w:r>
          </w:p>
          <w:p w14:paraId="7240267A" w14:textId="77777777" w:rsidR="00910F63" w:rsidRPr="002A677E" w:rsidRDefault="00910F63" w:rsidP="007400C4">
            <w:pPr>
              <w:rPr>
                <w:rFonts w:ascii="Times New Roman" w:hAnsi="Times New Roman"/>
                <w:b/>
                <w:sz w:val="24"/>
                <w:u w:val="single"/>
              </w:rPr>
            </w:pPr>
            <w:r>
              <w:rPr>
                <w:rFonts w:ascii="Times New Roman" w:hAnsi="Times New Roman"/>
                <w:sz w:val="24"/>
              </w:rPr>
              <w:t>Za izpostavljenosti na drobno, zavarovane s stanovanjskimi nepremičninami, se štejejo vse izpostavljenosti na drobno, zavarovane s stanovanjskimi nepremičninami, ki so pripoznane kot zavarovanje s premoženjem, ne glede na razmerje med vrednostjo zavarovanja in izpostavljenostjo ali namen kredita.</w:t>
            </w:r>
          </w:p>
        </w:tc>
      </w:tr>
      <w:tr w:rsidR="009D6580" w:rsidRPr="002A677E" w14:paraId="38AD5BBA" w14:textId="77777777" w:rsidTr="00822842">
        <w:tc>
          <w:tcPr>
            <w:tcW w:w="1188" w:type="dxa"/>
          </w:tcPr>
          <w:p w14:paraId="48A5C8D2"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640" w:type="dxa"/>
          </w:tcPr>
          <w:p w14:paraId="1B160106" w14:textId="7C65E11F" w:rsidR="009D6580" w:rsidRPr="002A677E" w:rsidRDefault="009D6580" w:rsidP="00822842">
            <w:pPr>
              <w:rPr>
                <w:rFonts w:ascii="Times New Roman" w:hAnsi="Times New Roman"/>
                <w:b/>
                <w:sz w:val="24"/>
                <w:u w:val="single"/>
              </w:rPr>
            </w:pPr>
            <w:r>
              <w:rPr>
                <w:rFonts w:ascii="Times New Roman" w:hAnsi="Times New Roman"/>
                <w:b/>
                <w:sz w:val="24"/>
                <w:u w:val="single"/>
              </w:rPr>
              <w:t>Kvalificirane obnavljajoče se</w:t>
            </w:r>
          </w:p>
          <w:p w14:paraId="363209C3"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Izpostavljenosti na drobno iz člena 147(2), točka (d)(i), v povezavi s členom 154(4) Uredbe (EU) št. 575/2013.</w:t>
            </w:r>
          </w:p>
        </w:tc>
      </w:tr>
      <w:tr w:rsidR="009D6580" w:rsidRPr="002A677E" w14:paraId="26D0338D" w14:textId="77777777" w:rsidTr="00822842">
        <w:tc>
          <w:tcPr>
            <w:tcW w:w="1188" w:type="dxa"/>
          </w:tcPr>
          <w:p w14:paraId="6DA4B8E6" w14:textId="77777777" w:rsidR="009D6580" w:rsidRPr="002A677E" w:rsidRDefault="009D6580" w:rsidP="00822842">
            <w:pPr>
              <w:rPr>
                <w:rFonts w:ascii="Times New Roman" w:hAnsi="Times New Roman"/>
                <w:sz w:val="24"/>
              </w:rPr>
            </w:pPr>
            <w:r>
              <w:rPr>
                <w:rFonts w:ascii="Times New Roman" w:hAnsi="Times New Roman"/>
                <w:sz w:val="24"/>
              </w:rPr>
              <w:t>0105</w:t>
            </w:r>
          </w:p>
        </w:tc>
        <w:tc>
          <w:tcPr>
            <w:tcW w:w="8640" w:type="dxa"/>
          </w:tcPr>
          <w:p w14:paraId="63563096" w14:textId="485ECEE6" w:rsidR="009D6580" w:rsidRDefault="009D6580" w:rsidP="00822842">
            <w:pPr>
              <w:rPr>
                <w:rFonts w:ascii="Times New Roman" w:hAnsi="Times New Roman"/>
                <w:b/>
                <w:sz w:val="24"/>
                <w:u w:val="single"/>
              </w:rPr>
            </w:pPr>
            <w:r>
              <w:rPr>
                <w:rFonts w:ascii="Times New Roman" w:hAnsi="Times New Roman"/>
                <w:b/>
                <w:sz w:val="24"/>
                <w:u w:val="single"/>
              </w:rPr>
              <w:t>Odkupljene denarne terjatve</w:t>
            </w:r>
          </w:p>
          <w:p w14:paraId="7C92CD05" w14:textId="77777777" w:rsidR="009D6580" w:rsidRPr="00B7761D" w:rsidRDefault="009D6580" w:rsidP="00822842">
            <w:pPr>
              <w:rPr>
                <w:rFonts w:cs="Calibri"/>
                <w:sz w:val="18"/>
                <w:szCs w:val="18"/>
              </w:rPr>
            </w:pPr>
            <w:r>
              <w:rPr>
                <w:rFonts w:ascii="Times New Roman" w:hAnsi="Times New Roman"/>
                <w:sz w:val="24"/>
              </w:rPr>
              <w:t>Izpostavljenosti na drobno iz člena 147(2), točka (d)(iii), Uredbe (EU) št. 575/2013.</w:t>
            </w:r>
          </w:p>
        </w:tc>
      </w:tr>
      <w:tr w:rsidR="009D6580" w:rsidRPr="002A677E" w14:paraId="551F153F" w14:textId="77777777" w:rsidTr="00822842">
        <w:tc>
          <w:tcPr>
            <w:tcW w:w="1188" w:type="dxa"/>
          </w:tcPr>
          <w:p w14:paraId="1C567015" w14:textId="77777777" w:rsidR="009D6580" w:rsidRPr="002A677E" w:rsidRDefault="009D6580" w:rsidP="00822842">
            <w:pPr>
              <w:rPr>
                <w:rFonts w:ascii="Times New Roman" w:hAnsi="Times New Roman"/>
                <w:sz w:val="24"/>
              </w:rPr>
            </w:pPr>
            <w:r>
              <w:rPr>
                <w:rFonts w:ascii="Times New Roman" w:hAnsi="Times New Roman"/>
                <w:sz w:val="24"/>
              </w:rPr>
              <w:t>0110</w:t>
            </w:r>
          </w:p>
        </w:tc>
        <w:tc>
          <w:tcPr>
            <w:tcW w:w="8640" w:type="dxa"/>
          </w:tcPr>
          <w:p w14:paraId="3B169086" w14:textId="5BA51B78" w:rsidR="009D6580" w:rsidRPr="002A677E" w:rsidRDefault="009D6580" w:rsidP="00822842">
            <w:pPr>
              <w:rPr>
                <w:rFonts w:ascii="Times New Roman" w:hAnsi="Times New Roman"/>
                <w:b/>
                <w:sz w:val="24"/>
                <w:u w:val="single"/>
              </w:rPr>
            </w:pPr>
            <w:r>
              <w:rPr>
                <w:rFonts w:ascii="Times New Roman" w:hAnsi="Times New Roman"/>
                <w:b/>
                <w:sz w:val="24"/>
                <w:u w:val="single"/>
              </w:rPr>
              <w:t>Druge izpostavljenosti na drobno</w:t>
            </w:r>
          </w:p>
          <w:p w14:paraId="6BB335AD" w14:textId="5184DC86" w:rsidR="009D6580" w:rsidRPr="002A677E" w:rsidRDefault="009D6580" w:rsidP="00822842">
            <w:pPr>
              <w:pStyle w:val="ListParagraph"/>
              <w:ind w:left="0"/>
              <w:rPr>
                <w:rFonts w:ascii="Times New Roman" w:hAnsi="Times New Roman"/>
                <w:sz w:val="24"/>
              </w:rPr>
            </w:pPr>
            <w:r>
              <w:rPr>
                <w:rFonts w:ascii="Times New Roman" w:hAnsi="Times New Roman"/>
                <w:sz w:val="24"/>
              </w:rPr>
              <w:t>Druge izpostavljenosti na drobno iz člena 147(2), točka (d)(iv), Uredbe (EU) št. 575/2013.</w:t>
            </w:r>
          </w:p>
        </w:tc>
      </w:tr>
      <w:tr w:rsidR="009D6580" w:rsidRPr="002A677E" w14:paraId="1879AB2D" w14:textId="77777777" w:rsidTr="00822842">
        <w:tc>
          <w:tcPr>
            <w:tcW w:w="1188" w:type="dxa"/>
          </w:tcPr>
          <w:p w14:paraId="247F0534"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640" w:type="dxa"/>
          </w:tcPr>
          <w:p w14:paraId="37F76446" w14:textId="3C72DE7C" w:rsidR="009D6580" w:rsidRPr="002A677E" w:rsidRDefault="00DF1C5D" w:rsidP="00822842">
            <w:pPr>
              <w:rPr>
                <w:rFonts w:ascii="Times New Roman" w:hAnsi="Times New Roman"/>
                <w:b/>
                <w:sz w:val="24"/>
                <w:u w:val="single"/>
              </w:rPr>
            </w:pPr>
            <w:r>
              <w:rPr>
                <w:rFonts w:ascii="Times New Roman" w:hAnsi="Times New Roman"/>
                <w:b/>
                <w:sz w:val="24"/>
                <w:u w:val="single"/>
              </w:rPr>
              <w:t xml:space="preserve">Od tega: </w:t>
            </w:r>
            <w:r w:rsidR="00837F98">
              <w:rPr>
                <w:rFonts w:ascii="Times New Roman" w:hAnsi="Times New Roman"/>
                <w:b/>
                <w:sz w:val="24"/>
                <w:u w:val="single"/>
              </w:rPr>
              <w:t>MSP</w:t>
            </w:r>
          </w:p>
          <w:p w14:paraId="28CE96BD" w14:textId="7A3420F8" w:rsidR="009D6580" w:rsidRPr="002A677E" w:rsidRDefault="009D6580" w:rsidP="00822842">
            <w:pPr>
              <w:pStyle w:val="ListParagraph"/>
              <w:ind w:left="0"/>
              <w:rPr>
                <w:rFonts w:ascii="Times New Roman" w:hAnsi="Times New Roman"/>
                <w:sz w:val="24"/>
              </w:rPr>
            </w:pPr>
            <w:r>
              <w:rPr>
                <w:rFonts w:ascii="Times New Roman" w:hAnsi="Times New Roman"/>
                <w:sz w:val="24"/>
              </w:rPr>
              <w:t xml:space="preserve">Druge izpostavljenosti na drobno iz člena 147(2), točka (d)(iv), Uredbe (EU) št. 575/2013 v povezavi s členom 5(8) Uredbe (EU) št. 575/2013. </w:t>
            </w:r>
          </w:p>
        </w:tc>
      </w:tr>
      <w:tr w:rsidR="009D6580" w:rsidRPr="002A677E" w14:paraId="6140E6E8" w14:textId="77777777" w:rsidTr="00822842">
        <w:tc>
          <w:tcPr>
            <w:tcW w:w="1188" w:type="dxa"/>
          </w:tcPr>
          <w:p w14:paraId="4DD00789" w14:textId="77777777" w:rsidR="009D6580" w:rsidRPr="002A677E" w:rsidRDefault="009D6580" w:rsidP="00822842">
            <w:pPr>
              <w:rPr>
                <w:rFonts w:ascii="Times New Roman" w:hAnsi="Times New Roman"/>
                <w:sz w:val="24"/>
              </w:rPr>
            </w:pPr>
            <w:r>
              <w:rPr>
                <w:rFonts w:ascii="Times New Roman" w:hAnsi="Times New Roman"/>
                <w:sz w:val="24"/>
              </w:rPr>
              <w:t>0130</w:t>
            </w:r>
          </w:p>
        </w:tc>
        <w:tc>
          <w:tcPr>
            <w:tcW w:w="8640" w:type="dxa"/>
          </w:tcPr>
          <w:p w14:paraId="40BDF108" w14:textId="02A2E111" w:rsidR="009D6580" w:rsidRPr="002A677E" w:rsidRDefault="00DF1C5D" w:rsidP="00822842">
            <w:pPr>
              <w:rPr>
                <w:rFonts w:ascii="Times New Roman" w:hAnsi="Times New Roman"/>
                <w:b/>
                <w:sz w:val="24"/>
                <w:u w:val="single"/>
              </w:rPr>
            </w:pPr>
            <w:r>
              <w:rPr>
                <w:rFonts w:ascii="Times New Roman" w:hAnsi="Times New Roman"/>
                <w:b/>
                <w:sz w:val="24"/>
                <w:u w:val="single"/>
              </w:rPr>
              <w:t xml:space="preserve">Od tega: </w:t>
            </w:r>
            <w:r w:rsidR="00837F98">
              <w:rPr>
                <w:rFonts w:ascii="Times New Roman" w:hAnsi="Times New Roman"/>
                <w:b/>
                <w:sz w:val="24"/>
                <w:u w:val="single"/>
              </w:rPr>
              <w:t>podjetja, ki niso MSP</w:t>
            </w:r>
          </w:p>
          <w:p w14:paraId="51D486B6" w14:textId="251D2008" w:rsidR="009D6580" w:rsidRPr="002A677E" w:rsidRDefault="00837F98" w:rsidP="00822842">
            <w:pPr>
              <w:rPr>
                <w:rFonts w:ascii="Times New Roman" w:hAnsi="Times New Roman"/>
                <w:sz w:val="24"/>
              </w:rPr>
            </w:pPr>
            <w:r>
              <w:rPr>
                <w:rFonts w:ascii="Times New Roman" w:hAnsi="Times New Roman"/>
                <w:sz w:val="24"/>
              </w:rPr>
              <w:t>Druge izpostavljenosti na drobno iz člena 147(2), točka (d)(iv), Uredbe (EU) št. 575/2013, ne v povezavi s členom 5(8) Uredbe (EU) št. 575/2013.</w:t>
            </w:r>
          </w:p>
        </w:tc>
      </w:tr>
      <w:tr w:rsidR="009D6580" w:rsidRPr="002A677E" w14:paraId="70A29A85" w14:textId="77777777" w:rsidTr="00822842">
        <w:tc>
          <w:tcPr>
            <w:tcW w:w="1188" w:type="dxa"/>
          </w:tcPr>
          <w:p w14:paraId="5C287489" w14:textId="77777777" w:rsidR="009D6580" w:rsidRPr="002A677E" w:rsidRDefault="009D6580" w:rsidP="00822842">
            <w:pPr>
              <w:rPr>
                <w:rFonts w:ascii="Times New Roman" w:hAnsi="Times New Roman"/>
                <w:sz w:val="24"/>
              </w:rPr>
            </w:pPr>
            <w:r>
              <w:rPr>
                <w:rFonts w:ascii="Times New Roman" w:hAnsi="Times New Roman"/>
                <w:sz w:val="24"/>
              </w:rPr>
              <w:t>0132</w:t>
            </w:r>
          </w:p>
        </w:tc>
        <w:tc>
          <w:tcPr>
            <w:tcW w:w="8640" w:type="dxa"/>
          </w:tcPr>
          <w:p w14:paraId="170B9280"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Kolektivni naložbeni podjemi (KNP)</w:t>
            </w:r>
          </w:p>
          <w:p w14:paraId="4237C58D" w14:textId="4E266C1C" w:rsidR="009D6580" w:rsidRDefault="009D6580" w:rsidP="00822842">
            <w:pPr>
              <w:rPr>
                <w:rFonts w:ascii="Times New Roman" w:hAnsi="Times New Roman"/>
                <w:b/>
                <w:sz w:val="24"/>
                <w:u w:val="single"/>
              </w:rPr>
            </w:pPr>
            <w:r>
              <w:rPr>
                <w:rFonts w:ascii="Times New Roman" w:hAnsi="Times New Roman"/>
                <w:sz w:val="24"/>
              </w:rPr>
              <w:t>Člen 147(2), točka (e1), Uredbe (EU) št. 575/2013.</w:t>
            </w:r>
          </w:p>
        </w:tc>
      </w:tr>
      <w:tr w:rsidR="009D6580" w:rsidRPr="002A677E" w14:paraId="72EBDFDD" w14:textId="77777777" w:rsidTr="00822842">
        <w:tc>
          <w:tcPr>
            <w:tcW w:w="1188" w:type="dxa"/>
          </w:tcPr>
          <w:p w14:paraId="290EDA87" w14:textId="77777777" w:rsidR="009D6580" w:rsidRPr="002A677E" w:rsidRDefault="009D6580" w:rsidP="00822842">
            <w:pPr>
              <w:rPr>
                <w:rFonts w:ascii="Times New Roman" w:hAnsi="Times New Roman"/>
                <w:sz w:val="24"/>
              </w:rPr>
            </w:pPr>
            <w:r>
              <w:rPr>
                <w:rFonts w:ascii="Times New Roman" w:hAnsi="Times New Roman"/>
                <w:sz w:val="24"/>
              </w:rPr>
              <w:t>0133</w:t>
            </w:r>
          </w:p>
        </w:tc>
        <w:tc>
          <w:tcPr>
            <w:tcW w:w="8640" w:type="dxa"/>
          </w:tcPr>
          <w:p w14:paraId="39E22A69"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Pristop vpogleda</w:t>
            </w:r>
          </w:p>
          <w:p w14:paraId="3481CEEB"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Enaka opredelitev kot za vrstico 0190 predloge CR IRB.</w:t>
            </w:r>
          </w:p>
        </w:tc>
      </w:tr>
      <w:tr w:rsidR="009D6580" w:rsidRPr="002A677E" w14:paraId="6520599F" w14:textId="77777777" w:rsidTr="00822842">
        <w:tc>
          <w:tcPr>
            <w:tcW w:w="1188" w:type="dxa"/>
          </w:tcPr>
          <w:p w14:paraId="5DF820F6" w14:textId="77777777" w:rsidR="009D6580" w:rsidRPr="002A677E" w:rsidRDefault="009D6580" w:rsidP="00822842">
            <w:pPr>
              <w:rPr>
                <w:rFonts w:ascii="Times New Roman" w:hAnsi="Times New Roman"/>
                <w:sz w:val="24"/>
              </w:rPr>
            </w:pPr>
            <w:r>
              <w:rPr>
                <w:rFonts w:ascii="Times New Roman" w:hAnsi="Times New Roman"/>
                <w:sz w:val="24"/>
              </w:rPr>
              <w:t>0134</w:t>
            </w:r>
          </w:p>
        </w:tc>
        <w:tc>
          <w:tcPr>
            <w:tcW w:w="8640" w:type="dxa"/>
          </w:tcPr>
          <w:p w14:paraId="13156AFE"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Pristop na podlagi mandata</w:t>
            </w:r>
          </w:p>
          <w:p w14:paraId="37B63BC9"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Enaka opredelitev kot za vrstico 0200 predloge CR IRB.</w:t>
            </w:r>
          </w:p>
        </w:tc>
      </w:tr>
      <w:tr w:rsidR="009D6580" w:rsidRPr="002A677E" w14:paraId="57B2C532" w14:textId="77777777" w:rsidTr="00822842">
        <w:tc>
          <w:tcPr>
            <w:tcW w:w="1188" w:type="dxa"/>
          </w:tcPr>
          <w:p w14:paraId="251B0D2B" w14:textId="77777777" w:rsidR="009D6580" w:rsidRPr="002A677E" w:rsidRDefault="009D6580" w:rsidP="00822842">
            <w:pPr>
              <w:rPr>
                <w:rFonts w:ascii="Times New Roman" w:hAnsi="Times New Roman"/>
                <w:sz w:val="24"/>
              </w:rPr>
            </w:pPr>
            <w:r>
              <w:rPr>
                <w:rFonts w:ascii="Times New Roman" w:hAnsi="Times New Roman"/>
                <w:sz w:val="24"/>
              </w:rPr>
              <w:t>0135</w:t>
            </w:r>
          </w:p>
        </w:tc>
        <w:tc>
          <w:tcPr>
            <w:tcW w:w="8640" w:type="dxa"/>
          </w:tcPr>
          <w:p w14:paraId="19D4ED63"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Nadomestni pristop</w:t>
            </w:r>
          </w:p>
          <w:p w14:paraId="18A39C60"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Enaka opredelitev kot za vrstico 0210 predloge CR IRB.</w:t>
            </w:r>
          </w:p>
        </w:tc>
      </w:tr>
      <w:bookmarkEnd w:id="3"/>
      <w:tr w:rsidR="009D6580" w:rsidRPr="002A677E" w14:paraId="09973696" w14:textId="77777777" w:rsidTr="00822842">
        <w:tc>
          <w:tcPr>
            <w:tcW w:w="1188" w:type="dxa"/>
            <w:tcBorders>
              <w:top w:val="single" w:sz="4" w:space="0" w:color="auto"/>
              <w:left w:val="single" w:sz="4" w:space="0" w:color="auto"/>
              <w:bottom w:val="single" w:sz="4" w:space="0" w:color="auto"/>
              <w:right w:val="single" w:sz="4" w:space="0" w:color="auto"/>
            </w:tcBorders>
          </w:tcPr>
          <w:p w14:paraId="00440375" w14:textId="77777777" w:rsidR="009D6580" w:rsidRPr="002A677E" w:rsidRDefault="009D6580" w:rsidP="00822842">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4C454F62"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Lastniški instrumenti</w:t>
            </w:r>
          </w:p>
          <w:p w14:paraId="1A033F11" w14:textId="77777777" w:rsidR="009D6580" w:rsidRPr="002A677E" w:rsidRDefault="009D6580" w:rsidP="00822842">
            <w:pPr>
              <w:rPr>
                <w:rFonts w:ascii="Times New Roman" w:hAnsi="Times New Roman"/>
                <w:b/>
                <w:sz w:val="24"/>
                <w:u w:val="single"/>
              </w:rPr>
            </w:pPr>
            <w:r>
              <w:rPr>
                <w:rFonts w:ascii="Times New Roman" w:hAnsi="Times New Roman"/>
                <w:sz w:val="24"/>
              </w:rPr>
              <w:t>Izpostavljenosti iz naslova lastniških instrumentov iz člena 147(2), točka (e), Uredbe (EU) št. 575/2013.</w:t>
            </w:r>
          </w:p>
        </w:tc>
      </w:tr>
      <w:tr w:rsidR="009D6580" w:rsidRPr="002A677E" w14:paraId="6A23B6CC" w14:textId="77777777" w:rsidTr="00822842">
        <w:tc>
          <w:tcPr>
            <w:tcW w:w="1188" w:type="dxa"/>
            <w:tcBorders>
              <w:top w:val="single" w:sz="4" w:space="0" w:color="auto"/>
              <w:left w:val="single" w:sz="4" w:space="0" w:color="auto"/>
              <w:bottom w:val="single" w:sz="4" w:space="0" w:color="auto"/>
              <w:right w:val="single" w:sz="4" w:space="0" w:color="auto"/>
            </w:tcBorders>
          </w:tcPr>
          <w:p w14:paraId="0915CFF1" w14:textId="77777777" w:rsidR="009D6580" w:rsidRPr="002A677E" w:rsidRDefault="009D6580" w:rsidP="00822842">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24D713EA"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Skupni znesek izpostavljenosti</w:t>
            </w:r>
          </w:p>
        </w:tc>
      </w:tr>
    </w:tbl>
    <w:p w14:paraId="77289230" w14:textId="77777777" w:rsidR="009D6580" w:rsidRPr="002A677E" w:rsidRDefault="009D6580" w:rsidP="009D6580">
      <w:pPr>
        <w:spacing w:before="0" w:after="200" w:line="312" w:lineRule="auto"/>
        <w:jc w:val="left"/>
        <w:rPr>
          <w:rFonts w:ascii="Times New Roman" w:hAnsi="Times New Roman"/>
          <w:sz w:val="24"/>
        </w:rPr>
      </w:pPr>
    </w:p>
    <w:p w14:paraId="6A7D32B9"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0" w:name="_Toc360188366"/>
      <w:bookmarkStart w:id="11" w:name="_Toc473560917"/>
      <w:bookmarkStart w:id="12" w:name="_Toc151714421"/>
      <w:r>
        <w:rPr>
          <w:rFonts w:ascii="Times New Roman" w:hAnsi="Times New Roman"/>
          <w:sz w:val="24"/>
          <w:u w:val="none"/>
        </w:rPr>
        <w:lastRenderedPageBreak/>
        <w:t>3.4.3</w:t>
      </w:r>
      <w:r w:rsidRPr="00DF1C5D">
        <w:rPr>
          <w:u w:val="none"/>
        </w:rPr>
        <w:tab/>
      </w:r>
      <w:r>
        <w:rPr>
          <w:rFonts w:ascii="Times New Roman" w:hAnsi="Times New Roman"/>
          <w:sz w:val="24"/>
        </w:rPr>
        <w:t xml:space="preserve">C 09.04 – Razčlenitev ustreznih kreditnih izpostavljenosti za namene izračuna proticikličnega blažilnika po državah in stopnje posamezni instituciji lastnega proticikličnega blažilnika </w:t>
      </w:r>
      <w:bookmarkEnd w:id="10"/>
      <w:r>
        <w:rPr>
          <w:rFonts w:ascii="Times New Roman" w:hAnsi="Times New Roman"/>
          <w:sz w:val="24"/>
        </w:rPr>
        <w:t>(CCB)</w:t>
      </w:r>
      <w:bookmarkEnd w:id="11"/>
      <w:bookmarkEnd w:id="12"/>
    </w:p>
    <w:p w14:paraId="600FC3A3"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3" w:name="_Toc360188367"/>
      <w:bookmarkStart w:id="14" w:name="_Toc473560918"/>
      <w:bookmarkStart w:id="15" w:name="_Toc151714422"/>
      <w:r>
        <w:rPr>
          <w:rFonts w:ascii="Times New Roman" w:hAnsi="Times New Roman"/>
          <w:sz w:val="24"/>
          <w:u w:val="none"/>
        </w:rPr>
        <w:t>3.4.3.1</w:t>
      </w:r>
      <w:r w:rsidRPr="00DF1C5D">
        <w:rPr>
          <w:u w:val="none"/>
        </w:rPr>
        <w:tab/>
      </w:r>
      <w:r>
        <w:rPr>
          <w:rFonts w:ascii="Times New Roman" w:hAnsi="Times New Roman"/>
          <w:sz w:val="24"/>
        </w:rPr>
        <w:t>Splošne opombe</w:t>
      </w:r>
      <w:bookmarkEnd w:id="13"/>
      <w:bookmarkEnd w:id="14"/>
      <w:bookmarkEnd w:id="15"/>
    </w:p>
    <w:p w14:paraId="57D13BA6"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88</w:t>
      </w:r>
      <w:r>
        <w:fldChar w:fldCharType="end"/>
      </w:r>
      <w:r>
        <w:t>.</w:t>
      </w:r>
      <w:r>
        <w:tab/>
        <w:t xml:space="preserve">Namen te predloge je pridobiti več informacij v zvezi z elementi posamezni instituciji lastnega proticikličnega kapitalskega blažilnika. Zahtevane informacije se nanašajo na kapitalske zahteve, določene v skladu z delom 3, naslova II in IV, Uredbe (EU) št. 575/2013, in na geografsko lokacijo za kreditne izpostavljenosti, izpostavljenosti v listinjenju in izpostavljenosti v trgovalni knjigi, ki so ustrezne oz. relevantne za izračun posamezni instituciji lastnega proticikličnega kapitalskega blažilnika (CCB) v skladu s členom 140 Direktive 2013/36/EU (ustrezne kreditne izpostavljenosti). </w:t>
      </w:r>
    </w:p>
    <w:p w14:paraId="10EA3DAD"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89</w:t>
      </w:r>
      <w:r>
        <w:fldChar w:fldCharType="end"/>
      </w:r>
      <w:r>
        <w:t>.</w:t>
      </w:r>
      <w:r>
        <w:tab/>
        <w:t xml:space="preserve">Informacije v predlogi C 09.04 se poročajo za „Skupni znesek“ ustreznih kreditnih izpostavljenosti v vseh jurisdikcijah, v katerih se nahajajo te izpostavljenosti, in posamično za vsako od jurisdikcij, v kateri se nahajajo ustrezne kreditne izpostavljenosti. Skupni zneski in informacije o vsaki jurisdikciji se poročajo ločeno. </w:t>
      </w:r>
    </w:p>
    <w:p w14:paraId="054CDEAF"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90</w:t>
      </w:r>
      <w:r>
        <w:fldChar w:fldCharType="end"/>
      </w:r>
      <w:r>
        <w:t>.</w:t>
      </w:r>
      <w:r>
        <w:tab/>
        <w:t>Prag iz člena 5(5) te izvedbene uredbe se ne uporablja za poročanje o tej razčlenitvi.</w:t>
      </w:r>
    </w:p>
    <w:bookmarkStart w:id="16" w:name="_Hlk151650982"/>
    <w:p w14:paraId="710781F7"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91</w:t>
      </w:r>
      <w:r>
        <w:fldChar w:fldCharType="end"/>
      </w:r>
      <w:r>
        <w:t>.</w:t>
      </w:r>
      <w:r>
        <w:tab/>
        <w:t>Da se določi geografska lokacija, se izpostavljenosti razporedijo na podlagi neposrednega dolžnika, kot je določeno v Delegirani uredbi Komisije (EU) št. 1152/2014</w:t>
      </w:r>
      <w:r>
        <w:footnoteReference w:id="1"/>
      </w:r>
      <w:r>
        <w:t>. Zato tehnike za zmanjševanje kreditnega tveganja ne spremenijo razporeditve izpostavljenosti na geografske lokacije za namene poročanja informacij iz te predloge.</w:t>
      </w:r>
    </w:p>
    <w:p w14:paraId="4811C8E1"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7" w:name="_Toc360188368"/>
      <w:bookmarkStart w:id="18" w:name="_Toc473560919"/>
      <w:bookmarkStart w:id="19" w:name="_Toc151714423"/>
      <w:bookmarkEnd w:id="16"/>
      <w:r>
        <w:rPr>
          <w:rFonts w:ascii="Times New Roman" w:hAnsi="Times New Roman"/>
          <w:sz w:val="24"/>
          <w:u w:val="none"/>
        </w:rPr>
        <w:t>3.4.3.2</w:t>
      </w:r>
      <w:r w:rsidRPr="00DF1C5D">
        <w:rPr>
          <w:u w:val="none"/>
        </w:rPr>
        <w:tab/>
      </w:r>
      <w:r>
        <w:rPr>
          <w:rFonts w:ascii="Times New Roman" w:hAnsi="Times New Roman"/>
          <w:sz w:val="24"/>
        </w:rPr>
        <w:t>Navodila za posamezne pozicije</w:t>
      </w:r>
      <w:bookmarkEnd w:id="17"/>
      <w:bookmarkEnd w:id="18"/>
      <w:bookmarkEnd w:id="1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1A9B1D" w14:textId="77777777" w:rsidTr="00822842">
        <w:tc>
          <w:tcPr>
            <w:tcW w:w="1697" w:type="dxa"/>
            <w:shd w:val="clear" w:color="auto" w:fill="CCCCCC"/>
          </w:tcPr>
          <w:p w14:paraId="6D544C28" w14:textId="77777777" w:rsidR="009D6580" w:rsidRPr="002A677E" w:rsidRDefault="009D6580" w:rsidP="00822842">
            <w:pPr>
              <w:rPr>
                <w:rFonts w:ascii="Times New Roman" w:hAnsi="Times New Roman"/>
                <w:b/>
                <w:sz w:val="24"/>
              </w:rPr>
            </w:pPr>
            <w:r>
              <w:rPr>
                <w:rFonts w:ascii="Times New Roman" w:hAnsi="Times New Roman"/>
                <w:b/>
                <w:sz w:val="24"/>
              </w:rPr>
              <w:t>Stolpci</w:t>
            </w:r>
          </w:p>
        </w:tc>
        <w:tc>
          <w:tcPr>
            <w:tcW w:w="8131" w:type="dxa"/>
            <w:shd w:val="clear" w:color="auto" w:fill="CCCCCC"/>
          </w:tcPr>
          <w:p w14:paraId="55FA945D" w14:textId="77777777" w:rsidR="009D6580" w:rsidRPr="002A677E" w:rsidRDefault="009D6580" w:rsidP="00822842">
            <w:pPr>
              <w:ind w:left="72"/>
              <w:rPr>
                <w:rFonts w:ascii="Times New Roman" w:hAnsi="Times New Roman"/>
                <w:sz w:val="24"/>
              </w:rPr>
            </w:pPr>
          </w:p>
        </w:tc>
      </w:tr>
      <w:tr w:rsidR="009D6580" w:rsidRPr="002A677E" w14:paraId="6B14BCBD" w14:textId="77777777" w:rsidTr="00822842">
        <w:tc>
          <w:tcPr>
            <w:tcW w:w="1697" w:type="dxa"/>
          </w:tcPr>
          <w:p w14:paraId="5CBD6D84" w14:textId="77777777" w:rsidR="009D6580" w:rsidRPr="002A677E" w:rsidRDefault="009D6580" w:rsidP="00822842">
            <w:pPr>
              <w:rPr>
                <w:rStyle w:val="InstructionsTabelleText"/>
                <w:rFonts w:ascii="Times New Roman" w:hAnsi="Times New Roman"/>
                <w:sz w:val="24"/>
              </w:rPr>
            </w:pPr>
            <w:r>
              <w:rPr>
                <w:rFonts w:ascii="Times New Roman" w:hAnsi="Times New Roman"/>
                <w:sz w:val="24"/>
              </w:rPr>
              <w:t>0010</w:t>
            </w:r>
          </w:p>
        </w:tc>
        <w:tc>
          <w:tcPr>
            <w:tcW w:w="8131" w:type="dxa"/>
          </w:tcPr>
          <w:p w14:paraId="6A1F53D1"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Znesek</w:t>
            </w:r>
          </w:p>
          <w:p w14:paraId="4EDF6439" w14:textId="77777777" w:rsidR="009D6580" w:rsidRPr="002A677E" w:rsidRDefault="009D6580" w:rsidP="00822842">
            <w:pPr>
              <w:rPr>
                <w:rFonts w:ascii="Times New Roman" w:hAnsi="Times New Roman"/>
                <w:b/>
                <w:sz w:val="24"/>
                <w:u w:val="single"/>
              </w:rPr>
            </w:pPr>
            <w:r>
              <w:rPr>
                <w:rFonts w:ascii="Times New Roman" w:hAnsi="Times New Roman"/>
                <w:sz w:val="24"/>
              </w:rPr>
              <w:t>Vrednost ustreznih kreditnih izpostavljenosti in povezanih kapitalskih zahtev, določena v skladu z navodili za zadevno vrstico.</w:t>
            </w:r>
          </w:p>
        </w:tc>
      </w:tr>
      <w:tr w:rsidR="009D6580" w:rsidRPr="002A677E" w14:paraId="29BB3D71" w14:textId="77777777" w:rsidTr="00822842">
        <w:tc>
          <w:tcPr>
            <w:tcW w:w="1697" w:type="dxa"/>
          </w:tcPr>
          <w:p w14:paraId="15999D4B" w14:textId="77777777" w:rsidR="009D6580" w:rsidRPr="002A677E" w:rsidRDefault="009D6580" w:rsidP="00822842">
            <w:pPr>
              <w:rPr>
                <w:sz w:val="24"/>
              </w:rPr>
            </w:pPr>
            <w:r>
              <w:rPr>
                <w:rFonts w:ascii="Times New Roman" w:hAnsi="Times New Roman"/>
                <w:sz w:val="24"/>
              </w:rPr>
              <w:t>0020</w:t>
            </w:r>
          </w:p>
        </w:tc>
        <w:tc>
          <w:tcPr>
            <w:tcW w:w="8131" w:type="dxa"/>
          </w:tcPr>
          <w:p w14:paraId="4133F8D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Odstotek</w:t>
            </w:r>
          </w:p>
          <w:p w14:paraId="01DD816F" w14:textId="77777777" w:rsidR="009D6580" w:rsidRPr="002A677E" w:rsidRDefault="009D6580" w:rsidP="00822842">
            <w:pPr>
              <w:rPr>
                <w:rFonts w:ascii="Times New Roman" w:hAnsi="Times New Roman"/>
                <w:b/>
                <w:bCs/>
                <w:sz w:val="24"/>
                <w:u w:val="single"/>
                <w:lang w:eastAsia="de-DE"/>
              </w:rPr>
            </w:pPr>
          </w:p>
        </w:tc>
      </w:tr>
      <w:tr w:rsidR="009D6580" w:rsidRPr="002A677E" w14:paraId="2A8BD3C1" w14:textId="77777777" w:rsidTr="00822842">
        <w:tc>
          <w:tcPr>
            <w:tcW w:w="1697" w:type="dxa"/>
          </w:tcPr>
          <w:p w14:paraId="0F30E1C9"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131" w:type="dxa"/>
          </w:tcPr>
          <w:p w14:paraId="61529C4E"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b/>
                <w:sz w:val="24"/>
                <w:u w:val="single"/>
              </w:rPr>
              <w:t>Kvalitativne informacije</w:t>
            </w:r>
          </w:p>
          <w:p w14:paraId="394356B2"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Te informacije se poročajo samo za državo sedeža institucije (jurisdikcija, ki ustreza njeni matični državi članici) in za „Skupni znesek“ vseh držav. </w:t>
            </w:r>
          </w:p>
          <w:p w14:paraId="6761B5E4"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lastRenderedPageBreak/>
              <w:t>Institucije poročajo {y} ali {n} v skladu z navodili za zadevno vrstico.</w:t>
            </w:r>
          </w:p>
        </w:tc>
      </w:tr>
    </w:tbl>
    <w:p w14:paraId="51476A7B" w14:textId="77777777" w:rsidR="009D6580" w:rsidRPr="002A677E" w:rsidRDefault="009D6580" w:rsidP="009D658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F6A5AE" w14:textId="77777777" w:rsidTr="00822842">
        <w:tc>
          <w:tcPr>
            <w:tcW w:w="1697" w:type="dxa"/>
            <w:shd w:val="clear" w:color="auto" w:fill="CCCCCC"/>
          </w:tcPr>
          <w:p w14:paraId="3BCCC295" w14:textId="77777777" w:rsidR="009D6580" w:rsidRPr="002A677E" w:rsidRDefault="009D6580" w:rsidP="00822842">
            <w:pPr>
              <w:rPr>
                <w:rFonts w:ascii="Times New Roman" w:hAnsi="Times New Roman"/>
                <w:b/>
                <w:sz w:val="24"/>
              </w:rPr>
            </w:pPr>
            <w:r>
              <w:rPr>
                <w:rFonts w:ascii="Times New Roman" w:hAnsi="Times New Roman"/>
                <w:b/>
                <w:sz w:val="24"/>
              </w:rPr>
              <w:t>Vrstice</w:t>
            </w:r>
          </w:p>
        </w:tc>
        <w:tc>
          <w:tcPr>
            <w:tcW w:w="8131" w:type="dxa"/>
            <w:shd w:val="clear" w:color="auto" w:fill="CCCCCC"/>
          </w:tcPr>
          <w:p w14:paraId="39519610" w14:textId="77777777" w:rsidR="009D6580" w:rsidRPr="002A677E" w:rsidRDefault="009D6580" w:rsidP="00822842">
            <w:pPr>
              <w:ind w:left="72"/>
              <w:rPr>
                <w:rFonts w:ascii="Times New Roman" w:hAnsi="Times New Roman"/>
                <w:sz w:val="24"/>
              </w:rPr>
            </w:pPr>
          </w:p>
        </w:tc>
      </w:tr>
      <w:tr w:rsidR="009D6580" w:rsidRPr="002A677E" w14:paraId="70661EF5" w14:textId="77777777" w:rsidTr="00822842">
        <w:tc>
          <w:tcPr>
            <w:tcW w:w="1697" w:type="dxa"/>
          </w:tcPr>
          <w:p w14:paraId="563EAAB9" w14:textId="77777777" w:rsidR="009D6580" w:rsidRPr="002A677E" w:rsidRDefault="009D6580" w:rsidP="00822842">
            <w:pPr>
              <w:rPr>
                <w:rStyle w:val="InstructionsTabelleText"/>
                <w:rFonts w:ascii="Times New Roman" w:hAnsi="Times New Roman"/>
                <w:sz w:val="24"/>
              </w:rPr>
            </w:pPr>
            <w:r>
              <w:rPr>
                <w:rFonts w:ascii="Times New Roman" w:hAnsi="Times New Roman"/>
                <w:sz w:val="24"/>
              </w:rPr>
              <w:t>0010–0020</w:t>
            </w:r>
          </w:p>
        </w:tc>
        <w:tc>
          <w:tcPr>
            <w:tcW w:w="8131" w:type="dxa"/>
          </w:tcPr>
          <w:p w14:paraId="3D2862F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Ustrezne kreditne izpostavljenosti – Kreditno tveganje</w:t>
            </w:r>
          </w:p>
          <w:p w14:paraId="516A26FA" w14:textId="77777777" w:rsidR="009D6580" w:rsidRPr="002A677E" w:rsidRDefault="009D6580" w:rsidP="00822842">
            <w:pPr>
              <w:rPr>
                <w:rFonts w:ascii="Times New Roman" w:hAnsi="Times New Roman"/>
                <w:b/>
                <w:sz w:val="24"/>
                <w:u w:val="single"/>
              </w:rPr>
            </w:pPr>
            <w:r>
              <w:rPr>
                <w:rFonts w:ascii="Times New Roman" w:hAnsi="Times New Roman"/>
                <w:sz w:val="24"/>
              </w:rPr>
              <w:t>Ustrezne kreditne izpostavljenosti iz člena 140(4), točka (a), Direktive 2013/36/EU.</w:t>
            </w:r>
          </w:p>
        </w:tc>
      </w:tr>
      <w:tr w:rsidR="009D6580" w:rsidRPr="002A677E" w14:paraId="527A1F7E" w14:textId="77777777" w:rsidTr="00822842">
        <w:tc>
          <w:tcPr>
            <w:tcW w:w="1697" w:type="dxa"/>
          </w:tcPr>
          <w:p w14:paraId="18BE8A8D" w14:textId="77777777" w:rsidR="009D6580" w:rsidRPr="002A677E" w:rsidRDefault="009D6580" w:rsidP="00822842">
            <w:pPr>
              <w:rPr>
                <w:sz w:val="24"/>
              </w:rPr>
            </w:pPr>
            <w:r>
              <w:rPr>
                <w:rFonts w:ascii="Times New Roman" w:hAnsi="Times New Roman"/>
                <w:sz w:val="24"/>
              </w:rPr>
              <w:t>0010</w:t>
            </w:r>
          </w:p>
        </w:tc>
        <w:tc>
          <w:tcPr>
            <w:tcW w:w="8131" w:type="dxa"/>
          </w:tcPr>
          <w:p w14:paraId="60D60C47"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Vrednost izpostavljenosti po standardiziranem pristopu</w:t>
            </w:r>
          </w:p>
          <w:p w14:paraId="0EA1DD75"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Vrednost izpostavljenosti, izračunana v skladu s členom 111 Uredbe (EU) št. 575/2013, za ustrezne kreditne izpostavljenosti iz člena 140(4), točka (a), Direktive 2013/36/EU. </w:t>
            </w:r>
          </w:p>
          <w:p w14:paraId="72B986ED"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Vrednost izpostavljenosti pozicij v listinjenju v netrgovalni knjigi se izključi iz te vrstice in poroča v vrstici 0055.</w:t>
            </w:r>
          </w:p>
        </w:tc>
      </w:tr>
      <w:tr w:rsidR="009D6580" w:rsidRPr="002A677E" w14:paraId="367F78C6" w14:textId="77777777" w:rsidTr="00822842">
        <w:tc>
          <w:tcPr>
            <w:tcW w:w="1697" w:type="dxa"/>
          </w:tcPr>
          <w:p w14:paraId="3217061B"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131" w:type="dxa"/>
          </w:tcPr>
          <w:p w14:paraId="385211C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Vrednost izpostavljenosti po pristopu IRB</w:t>
            </w:r>
          </w:p>
          <w:p w14:paraId="3F80BC36"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Vrednost izpostavljenosti, izračunana v skladu s členom 166 Uredbe (EU) št. 575/2013, za ustrezne kreditne izpostavljenosti iz člena 140(4), točka (a), Direktive 2013/36/EU. </w:t>
            </w:r>
          </w:p>
          <w:p w14:paraId="48C130F1" w14:textId="77777777" w:rsidR="009D6580" w:rsidRPr="002A677E" w:rsidRDefault="009D6580" w:rsidP="00822842">
            <w:pPr>
              <w:rPr>
                <w:rFonts w:ascii="Times New Roman" w:hAnsi="Times New Roman"/>
                <w:b/>
                <w:bCs/>
                <w:sz w:val="24"/>
                <w:u w:val="single"/>
              </w:rPr>
            </w:pPr>
            <w:r>
              <w:rPr>
                <w:rFonts w:ascii="Times New Roman" w:hAnsi="Times New Roman"/>
                <w:sz w:val="24"/>
              </w:rPr>
              <w:t>Vrednost izpostavljenosti pozicij v listinjenju v netrgovalni knjigi se izključi iz te vrstice in poroča v vrstici 0055.</w:t>
            </w:r>
          </w:p>
        </w:tc>
      </w:tr>
      <w:tr w:rsidR="009D6580" w:rsidRPr="002A677E" w14:paraId="613420F2" w14:textId="77777777" w:rsidTr="00822842">
        <w:tc>
          <w:tcPr>
            <w:tcW w:w="1697" w:type="dxa"/>
          </w:tcPr>
          <w:p w14:paraId="53491AFF" w14:textId="77777777" w:rsidR="009D6580" w:rsidRPr="002A677E" w:rsidRDefault="009D6580" w:rsidP="00822842">
            <w:pPr>
              <w:rPr>
                <w:rFonts w:ascii="Times New Roman" w:hAnsi="Times New Roman"/>
                <w:sz w:val="24"/>
              </w:rPr>
            </w:pPr>
            <w:r>
              <w:rPr>
                <w:rFonts w:ascii="Times New Roman" w:hAnsi="Times New Roman"/>
                <w:sz w:val="24"/>
              </w:rPr>
              <w:t>0030–0040</w:t>
            </w:r>
          </w:p>
        </w:tc>
        <w:tc>
          <w:tcPr>
            <w:tcW w:w="8131" w:type="dxa"/>
          </w:tcPr>
          <w:p w14:paraId="369D850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Ustrezne kreditne izpostavljenosti – Tržno tveganje</w:t>
            </w:r>
          </w:p>
          <w:p w14:paraId="54050F98" w14:textId="77777777" w:rsidR="009D6580" w:rsidRPr="002A677E" w:rsidRDefault="009D6580" w:rsidP="00822842">
            <w:pPr>
              <w:rPr>
                <w:rFonts w:ascii="Times New Roman" w:hAnsi="Times New Roman"/>
                <w:b/>
                <w:bCs/>
                <w:sz w:val="24"/>
                <w:u w:val="single"/>
              </w:rPr>
            </w:pPr>
            <w:r>
              <w:rPr>
                <w:rFonts w:ascii="Times New Roman" w:hAnsi="Times New Roman"/>
                <w:sz w:val="24"/>
              </w:rPr>
              <w:t>Ustrezne kreditne izpostavljenosti iz člena 140(4), točka (b), Direktive 2013/36/EU.</w:t>
            </w:r>
          </w:p>
        </w:tc>
      </w:tr>
      <w:tr w:rsidR="009D6580" w:rsidRPr="002A677E" w14:paraId="670769C5" w14:textId="77777777" w:rsidTr="00822842">
        <w:tc>
          <w:tcPr>
            <w:tcW w:w="1697" w:type="dxa"/>
          </w:tcPr>
          <w:p w14:paraId="27E0BEE1"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131" w:type="dxa"/>
          </w:tcPr>
          <w:p w14:paraId="740784D8"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Vsota dolgih in kratkih pozicij izpostavljenosti v trgovalni knjigi za standardizirani pristop</w:t>
            </w:r>
          </w:p>
          <w:p w14:paraId="5F803AC4"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Vsota neto dolgih in neto kratkih pozicij v skladu s členom 327 Uredbe (EU) št. 575/2013 za ustrezne kreditne izpostavljenosti iz člena 140(4), točka (b), Direktive 2013/36/EU, za katere veljajo kapitalske zahteve na podlagi dela 3, naslov IV, poglavje 2, Uredbe (EU) št. 575/2013: </w:t>
            </w:r>
          </w:p>
          <w:p w14:paraId="555B6B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izpostavljenosti do dolžniških instrumentov razen listinjenja,</w:t>
            </w:r>
          </w:p>
          <w:p w14:paraId="2F347ECD"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izpostavljenosti do pozicij v listinjenju v trgovalni knjigi,</w:t>
            </w:r>
          </w:p>
          <w:p w14:paraId="0BF14848"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izpostavljenosti do trgovalnih portfeljev s korelacijo,</w:t>
            </w:r>
          </w:p>
          <w:p w14:paraId="426EA2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izpostavljenosti do lastniških vrednostnih papirjev,</w:t>
            </w:r>
          </w:p>
          <w:p w14:paraId="29596F16"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izpostavljenosti do KNP, če so kapitalske zahteve izračunane v skladu s členom 348 Uredbe (EU) št. 575/2013.</w:t>
            </w:r>
          </w:p>
        </w:tc>
      </w:tr>
      <w:tr w:rsidR="009D6580" w:rsidRPr="002A677E" w14:paraId="1B5F6FE5" w14:textId="77777777" w:rsidTr="00822842">
        <w:tc>
          <w:tcPr>
            <w:tcW w:w="1697" w:type="dxa"/>
          </w:tcPr>
          <w:p w14:paraId="22718F0C"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131" w:type="dxa"/>
          </w:tcPr>
          <w:p w14:paraId="7989891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Vrednost izpostavljenosti v trgovalni knjigi po notranjih modelih</w:t>
            </w:r>
          </w:p>
          <w:p w14:paraId="2C5D070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Za ustrezne kreditne izpostavljenosti iz člena 140(4), točka (b), Direktive 2013/36/EU, za katere veljajo kapitalske zahteve na podlagi dela 3, naslov IV, poglavji 2 in 5, Uredbe (EU) št. 575/2013, se poroča vsota naslednjega:</w:t>
            </w:r>
          </w:p>
          <w:p w14:paraId="07E28E81" w14:textId="65E3AF00"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Calibri" w:hAnsi="Calibri"/>
                <w:sz w:val="24"/>
              </w:rPr>
              <w:lastRenderedPageBreak/>
              <w:t>–</w:t>
            </w:r>
            <w:r>
              <w:tab/>
            </w:r>
            <w:r>
              <w:rPr>
                <w:rFonts w:ascii="Times New Roman" w:hAnsi="Times New Roman"/>
                <w:sz w:val="24"/>
              </w:rPr>
              <w:t>poštene vrednosti pozicij v neizvedenih finančnih instrumentih, ki predstavljajo ustrezne kreditne izpostavljenosti iz člena 140(4), točka (b), Direktive 2013/36/EU, določene v skladu s členom 104 Uredbe (EU) št. 575/2013</w:t>
            </w:r>
            <w:r w:rsidR="00DF1C5D">
              <w:rPr>
                <w:rFonts w:ascii="Times New Roman" w:hAnsi="Times New Roman"/>
                <w:sz w:val="24"/>
              </w:rPr>
              <w:t>,</w:t>
            </w:r>
          </w:p>
          <w:p w14:paraId="198195E0"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hipotetične vrednosti izvedenih finančnih instrumentov, ki predstavljajo ustrezne kreditne izpostavljenosti iz člena 140(4), točka (b), Direktive 2013/36/EU.</w:t>
            </w:r>
          </w:p>
        </w:tc>
      </w:tr>
      <w:tr w:rsidR="009D6580" w:rsidRPr="002A677E" w14:paraId="6BA1E71E" w14:textId="77777777" w:rsidTr="00822842">
        <w:tc>
          <w:tcPr>
            <w:tcW w:w="1697" w:type="dxa"/>
          </w:tcPr>
          <w:p w14:paraId="37545C8A" w14:textId="77777777" w:rsidR="009D6580" w:rsidRPr="002A677E" w:rsidRDefault="009D6580" w:rsidP="00822842">
            <w:pPr>
              <w:rPr>
                <w:rFonts w:ascii="Times New Roman" w:hAnsi="Times New Roman"/>
                <w:sz w:val="24"/>
              </w:rPr>
            </w:pPr>
            <w:r>
              <w:rPr>
                <w:rFonts w:ascii="Times New Roman" w:hAnsi="Times New Roman"/>
                <w:sz w:val="24"/>
              </w:rPr>
              <w:lastRenderedPageBreak/>
              <w:t>0055</w:t>
            </w:r>
          </w:p>
        </w:tc>
        <w:tc>
          <w:tcPr>
            <w:tcW w:w="8131" w:type="dxa"/>
          </w:tcPr>
          <w:p w14:paraId="3A6EE46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Ustrezne kreditne izpostavljenosti – Pozicije v listinjenju v netrgovalni knjigi</w:t>
            </w:r>
          </w:p>
          <w:p w14:paraId="4B3C8407" w14:textId="77777777" w:rsidR="009D6580" w:rsidRPr="002A677E" w:rsidRDefault="009D6580" w:rsidP="00822842">
            <w:pPr>
              <w:rPr>
                <w:rFonts w:ascii="Times New Roman" w:hAnsi="Times New Roman"/>
                <w:sz w:val="24"/>
              </w:rPr>
            </w:pPr>
            <w:r>
              <w:rPr>
                <w:rFonts w:ascii="Times New Roman" w:hAnsi="Times New Roman"/>
                <w:sz w:val="24"/>
              </w:rPr>
              <w:t>Vrednost izpostavljenosti, izračunana v skladu s členom 248 Uredbe (EU) št. 575/2013, za ustrezne kreditne izpostavljenosti iz člena 140(4), točka (c), Direktive 2013/36/EU.</w:t>
            </w:r>
          </w:p>
        </w:tc>
      </w:tr>
      <w:tr w:rsidR="009D6580" w:rsidRPr="002A677E" w14:paraId="2A6651FC" w14:textId="77777777" w:rsidTr="00822842">
        <w:tc>
          <w:tcPr>
            <w:tcW w:w="1697" w:type="dxa"/>
          </w:tcPr>
          <w:p w14:paraId="3D2C5D4A" w14:textId="77777777" w:rsidR="009D6580" w:rsidRPr="002A677E" w:rsidRDefault="009D6580" w:rsidP="00822842">
            <w:pPr>
              <w:rPr>
                <w:rFonts w:ascii="Times New Roman" w:hAnsi="Times New Roman"/>
                <w:sz w:val="24"/>
              </w:rPr>
            </w:pPr>
            <w:r>
              <w:rPr>
                <w:rFonts w:ascii="Times New Roman" w:hAnsi="Times New Roman"/>
                <w:sz w:val="24"/>
              </w:rPr>
              <w:t>0070–0110</w:t>
            </w:r>
          </w:p>
        </w:tc>
        <w:tc>
          <w:tcPr>
            <w:tcW w:w="8131" w:type="dxa"/>
          </w:tcPr>
          <w:p w14:paraId="6A03AF3B"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Kapitalske zahteve in uteži</w:t>
            </w:r>
          </w:p>
        </w:tc>
      </w:tr>
      <w:tr w:rsidR="009D6580" w:rsidRPr="002A677E" w14:paraId="5C042A5F" w14:textId="77777777" w:rsidTr="00822842">
        <w:tc>
          <w:tcPr>
            <w:tcW w:w="1697" w:type="dxa"/>
          </w:tcPr>
          <w:p w14:paraId="32640B70"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131" w:type="dxa"/>
          </w:tcPr>
          <w:p w14:paraId="431787D4"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Skupne kapitalske zahteve za CCB</w:t>
            </w:r>
          </w:p>
          <w:p w14:paraId="78C29612" w14:textId="77777777" w:rsidR="009D6580" w:rsidRPr="002A677E" w:rsidRDefault="009D6580" w:rsidP="00822842">
            <w:pPr>
              <w:rPr>
                <w:rFonts w:ascii="Times New Roman" w:hAnsi="Times New Roman"/>
                <w:b/>
                <w:bCs/>
                <w:sz w:val="24"/>
                <w:u w:val="single"/>
              </w:rPr>
            </w:pPr>
            <w:r>
              <w:rPr>
                <w:rFonts w:ascii="Times New Roman" w:hAnsi="Times New Roman"/>
                <w:sz w:val="24"/>
              </w:rPr>
              <w:t>Vsota vrstic 0080, 0090 in 0100.</w:t>
            </w:r>
          </w:p>
        </w:tc>
      </w:tr>
      <w:tr w:rsidR="009D6580" w:rsidRPr="002A677E" w14:paraId="7D74E37B" w14:textId="77777777" w:rsidTr="00822842">
        <w:tc>
          <w:tcPr>
            <w:tcW w:w="1697" w:type="dxa"/>
          </w:tcPr>
          <w:p w14:paraId="26DA65D7"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131" w:type="dxa"/>
          </w:tcPr>
          <w:p w14:paraId="2381AF17"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 xml:space="preserve">Kapitalske zahteve za ustrezne kreditne izpostavljenosti – Kreditno tveganje </w:t>
            </w:r>
          </w:p>
          <w:p w14:paraId="4126D1D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Kapitalske zahteve, izračunane v skladu z delom 3, naslov II, poglavja 1 do 4 in poglavje 6, Uredbe (EU) št. 575/2013, za ustrezne kreditne izpostavljenosti iz člena 140(4), točka (a), Direktive 2013/36/EU, v zadevni državi.</w:t>
            </w:r>
          </w:p>
          <w:p w14:paraId="094DA9D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Kapitalske zahteve za pozicije v listinjenju v netrgovalni knjigi se izključijo iz te vrstice in poročajo v vrstici 0100.</w:t>
            </w:r>
          </w:p>
          <w:p w14:paraId="037A1499" w14:textId="77777777" w:rsidR="009D6580" w:rsidRPr="002A677E" w:rsidRDefault="009D6580" w:rsidP="00822842">
            <w:pPr>
              <w:rPr>
                <w:rFonts w:ascii="Times New Roman" w:hAnsi="Times New Roman"/>
                <w:b/>
                <w:bCs/>
                <w:sz w:val="24"/>
                <w:u w:val="single"/>
              </w:rPr>
            </w:pPr>
            <w:r>
              <w:rPr>
                <w:rFonts w:ascii="Times New Roman" w:hAnsi="Times New Roman"/>
                <w:sz w:val="24"/>
              </w:rPr>
              <w:t>Kapitalske zahteve znašajo 8 % zneska tveganju prilagojenih izpostavljenosti, določenega v skladu z delom 3, naslov II, poglavja 1 do 4 in poglavje 6, Uredbe (EU) št. 575/2013.</w:t>
            </w:r>
          </w:p>
        </w:tc>
      </w:tr>
      <w:tr w:rsidR="009D6580" w:rsidRPr="002A677E" w14:paraId="6CE5DB0E" w14:textId="77777777" w:rsidTr="00822842">
        <w:tc>
          <w:tcPr>
            <w:tcW w:w="1697" w:type="dxa"/>
          </w:tcPr>
          <w:p w14:paraId="0847E4D7"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131" w:type="dxa"/>
          </w:tcPr>
          <w:p w14:paraId="4922C90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 xml:space="preserve">Kapitalske zahteve za ustrezne kreditne izpostavljenosti – Tržno tveganje </w:t>
            </w:r>
          </w:p>
          <w:p w14:paraId="5686B88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Kapitalske zahteve, izračunane v skladu z delom 3, naslov IV, poglavje 2, Uredbe (EU) št. 575/2013 za posebno tveganje ali v skladu z delom 3, naslov IV, poglavje 5, Uredbe (EU) št. 575/2013 za presežno tveganje neplačila in migracije, za ustrezne kreditne izpostavljenosti iz člena 140(4), točka (b), Direktive 2013/36/EU, v zadevni državi. </w:t>
            </w:r>
          </w:p>
          <w:p w14:paraId="09611817"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Kapitalske zahteve za ustrezne kreditne izpostavljenosti na podlagi okvira tržnega tveganja med drugim vključujejo kapitalske zahteve za pozicije v listinjenju v skladu z delom 3, naslov IV, poglavje 2, Uredbe (EU) št. 575/2013 in kapitalske zahteve za izpostavljenosti do kolektivnih naložbenih podjemov, določene v skladu s členom 348 navedene uredbe.</w:t>
            </w:r>
          </w:p>
        </w:tc>
      </w:tr>
      <w:tr w:rsidR="009D6580" w:rsidRPr="002A677E" w14:paraId="655D63DC" w14:textId="77777777" w:rsidTr="00822842">
        <w:tc>
          <w:tcPr>
            <w:tcW w:w="1697" w:type="dxa"/>
          </w:tcPr>
          <w:p w14:paraId="4911AAD6"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131" w:type="dxa"/>
          </w:tcPr>
          <w:p w14:paraId="45D3AC3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Kapitalske zahteve za ustrezne kreditne izpostavljenosti – Pozicije v listinjenju v netrgovalni knjigi</w:t>
            </w:r>
          </w:p>
          <w:p w14:paraId="6483412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Kapitalske zahteve, izračunane v skladu z delom 3, naslov II, poglavje 5, Uredbe (EU) št. 575/2013, za ustrezne kreditne izpostavljenosti iz člena 140(4), točka (c), Direktive 2013/36/EU, v zadevni državi.</w:t>
            </w:r>
          </w:p>
          <w:p w14:paraId="1A6665D5" w14:textId="77777777" w:rsidR="009D6580" w:rsidRPr="002A677E" w:rsidRDefault="009D6580" w:rsidP="00822842">
            <w:pPr>
              <w:rPr>
                <w:rFonts w:ascii="Times New Roman" w:hAnsi="Times New Roman"/>
                <w:b/>
                <w:bCs/>
                <w:sz w:val="24"/>
                <w:u w:val="single"/>
              </w:rPr>
            </w:pPr>
            <w:r>
              <w:rPr>
                <w:rFonts w:ascii="Times New Roman" w:hAnsi="Times New Roman"/>
                <w:sz w:val="24"/>
              </w:rPr>
              <w:t>Kapitalske zahteve znašajo 8 % zneska tveganju prilagojenih izpostavljenosti, izračunanega v skladu z delom 3, naslov II, poglavje 5, Uredbe (EU) št. 575/2013.</w:t>
            </w:r>
          </w:p>
        </w:tc>
      </w:tr>
      <w:tr w:rsidR="009D6580" w:rsidRPr="002A677E" w14:paraId="4015A9D7" w14:textId="77777777" w:rsidTr="00822842">
        <w:tc>
          <w:tcPr>
            <w:tcW w:w="1697" w:type="dxa"/>
          </w:tcPr>
          <w:p w14:paraId="4ACCD3B3" w14:textId="77777777" w:rsidR="009D6580" w:rsidRPr="002A677E" w:rsidRDefault="009D6580" w:rsidP="00822842">
            <w:pPr>
              <w:rPr>
                <w:rFonts w:ascii="Times New Roman" w:hAnsi="Times New Roman"/>
                <w:sz w:val="24"/>
              </w:rPr>
            </w:pPr>
            <w:r>
              <w:rPr>
                <w:rFonts w:ascii="Times New Roman" w:hAnsi="Times New Roman"/>
                <w:sz w:val="24"/>
              </w:rPr>
              <w:lastRenderedPageBreak/>
              <w:t>0110</w:t>
            </w:r>
          </w:p>
        </w:tc>
        <w:tc>
          <w:tcPr>
            <w:tcW w:w="8131" w:type="dxa"/>
          </w:tcPr>
          <w:p w14:paraId="2EE25FA2"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Uteži kapitalskih zahtev</w:t>
            </w:r>
          </w:p>
          <w:p w14:paraId="3D7B8904" w14:textId="77777777" w:rsidR="009D6580" w:rsidRPr="002A677E" w:rsidRDefault="009D6580" w:rsidP="00822842">
            <w:pPr>
              <w:rPr>
                <w:rFonts w:ascii="Times New Roman" w:hAnsi="Times New Roman"/>
                <w:sz w:val="24"/>
              </w:rPr>
            </w:pPr>
            <w:r>
              <w:rPr>
                <w:rFonts w:ascii="Times New Roman" w:hAnsi="Times New Roman"/>
                <w:sz w:val="24"/>
              </w:rPr>
              <w:t>Utež, ki se uporabi za stopnjo proticikličnega blažilnika v vsaki državi, se izračuna kot količnik kapitalskih zahtev, ki se določi takole:</w:t>
            </w:r>
          </w:p>
          <w:p w14:paraId="47443D03" w14:textId="77777777" w:rsidR="009D6580" w:rsidRPr="002A677E" w:rsidRDefault="009D6580" w:rsidP="00822842">
            <w:pPr>
              <w:rPr>
                <w:rFonts w:ascii="Times New Roman" w:hAnsi="Times New Roman"/>
                <w:sz w:val="24"/>
              </w:rPr>
            </w:pPr>
            <w:r>
              <w:rPr>
                <w:rFonts w:ascii="Times New Roman" w:hAnsi="Times New Roman"/>
                <w:sz w:val="24"/>
              </w:rPr>
              <w:t>1.</w:t>
            </w:r>
            <w:r>
              <w:tab/>
            </w:r>
            <w:r>
              <w:rPr>
                <w:rFonts w:ascii="Times New Roman" w:hAnsi="Times New Roman"/>
                <w:sz w:val="24"/>
              </w:rPr>
              <w:t xml:space="preserve">števec: skupne kapitalske zahteve, ki se nanašajo na ustrezne kreditne izpostavljenosti v zadevni državi [v0070; s0010; obrazec za državo], </w:t>
            </w:r>
          </w:p>
          <w:p w14:paraId="1FE57EC6" w14:textId="77777777" w:rsidR="009D6580" w:rsidRPr="002A677E" w:rsidRDefault="009D6580" w:rsidP="00822842">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imenovalec: skupne kapitalske zahteve, ki se nanašajo na vse kreditne izpostavljenosti, ki so relevantne za izračun proticikličnega blažilnika iz člena 140(4) Direktive 2013/36/EU [v0070; s0010; „Skupni znesek“].</w:t>
            </w:r>
          </w:p>
          <w:p w14:paraId="423D2DDF" w14:textId="77777777" w:rsidR="009D6580" w:rsidRPr="002A677E" w:rsidRDefault="009D6580" w:rsidP="00822842">
            <w:pPr>
              <w:rPr>
                <w:rFonts w:ascii="Times New Roman" w:hAnsi="Times New Roman"/>
                <w:b/>
                <w:bCs/>
                <w:sz w:val="24"/>
                <w:u w:val="single"/>
              </w:rPr>
            </w:pPr>
            <w:r>
              <w:rPr>
                <w:rFonts w:ascii="Times New Roman" w:hAnsi="Times New Roman"/>
                <w:sz w:val="24"/>
              </w:rPr>
              <w:t>Informacije o utežeh kapitalskih zahtev se ne poročajo za postavko „Skupni znesek“ vseh držav.</w:t>
            </w:r>
          </w:p>
        </w:tc>
      </w:tr>
      <w:tr w:rsidR="009D6580" w:rsidRPr="002A677E" w14:paraId="5C4BC14D" w14:textId="77777777" w:rsidTr="00822842">
        <w:tc>
          <w:tcPr>
            <w:tcW w:w="1697" w:type="dxa"/>
          </w:tcPr>
          <w:p w14:paraId="1A21712D" w14:textId="77777777" w:rsidR="009D6580" w:rsidRPr="002A677E" w:rsidRDefault="009D6580" w:rsidP="00822842">
            <w:pPr>
              <w:rPr>
                <w:rFonts w:ascii="Times New Roman" w:hAnsi="Times New Roman"/>
                <w:sz w:val="24"/>
              </w:rPr>
            </w:pPr>
            <w:r>
              <w:rPr>
                <w:rFonts w:ascii="Times New Roman" w:hAnsi="Times New Roman"/>
                <w:sz w:val="24"/>
              </w:rPr>
              <w:t>0120–0140</w:t>
            </w:r>
          </w:p>
        </w:tc>
        <w:tc>
          <w:tcPr>
            <w:tcW w:w="8131" w:type="dxa"/>
          </w:tcPr>
          <w:p w14:paraId="0FFF9D8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Stopnje proticikličnega blažilnika</w:t>
            </w:r>
          </w:p>
        </w:tc>
      </w:tr>
      <w:tr w:rsidR="009D6580" w:rsidRPr="002A677E" w14:paraId="3D2AE883" w14:textId="77777777" w:rsidTr="00822842">
        <w:tc>
          <w:tcPr>
            <w:tcW w:w="1697" w:type="dxa"/>
          </w:tcPr>
          <w:p w14:paraId="61437EB6"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131" w:type="dxa"/>
          </w:tcPr>
          <w:p w14:paraId="756100DA"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Stopnja proticikličnega kapitalskega blažilnika, ki jo določi imenovani organ</w:t>
            </w:r>
          </w:p>
          <w:p w14:paraId="256AAB4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Stopnja proticikličnega kapitalskega blažilnika, ki jo za zadevno državo določi imenovani organ te države v skladu s členi 136, 137 in 139, členom 140(2), točki (a) in (c), ter členom 140(3), točka (b), Direktive 2013/36/EU.</w:t>
            </w:r>
          </w:p>
          <w:p w14:paraId="08387A1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Ta vrstica mora ostati prazna, če za zadevno državo imenovani organ te države ni določil proticikličnega blažilnika.</w:t>
            </w:r>
          </w:p>
          <w:p w14:paraId="79AF7A0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Stopnje proticikličnega kapitalskega blažilnika, ki jih je določil imenovani organ, vendar se na referenčni datum poročanja še ne uporabljajo v zadevni državi, se ne poročajo.</w:t>
            </w:r>
          </w:p>
          <w:p w14:paraId="5BEA0E13" w14:textId="77777777" w:rsidR="009D6580" w:rsidRPr="002A677E" w:rsidRDefault="009D6580" w:rsidP="00822842">
            <w:pPr>
              <w:rPr>
                <w:rFonts w:ascii="Times New Roman" w:hAnsi="Times New Roman"/>
                <w:b/>
                <w:bCs/>
                <w:sz w:val="24"/>
                <w:u w:val="single"/>
              </w:rPr>
            </w:pPr>
            <w:r>
              <w:rPr>
                <w:rFonts w:ascii="Times New Roman" w:hAnsi="Times New Roman"/>
                <w:sz w:val="24"/>
              </w:rPr>
              <w:t xml:space="preserve">Informacije o stopnji proticikličnega kapitalskega blažilnika, ki jo je določil imenovani organ, se ne poročajo za postavko „Skupni znesek“ vseh držav. </w:t>
            </w:r>
          </w:p>
        </w:tc>
      </w:tr>
      <w:tr w:rsidR="009D6580" w:rsidRPr="002A677E" w14:paraId="01E6253D" w14:textId="77777777" w:rsidTr="00822842">
        <w:tc>
          <w:tcPr>
            <w:tcW w:w="1697" w:type="dxa"/>
          </w:tcPr>
          <w:p w14:paraId="3226BBDD" w14:textId="77777777" w:rsidR="009D6580" w:rsidRPr="002A677E" w:rsidRDefault="009D6580" w:rsidP="00822842">
            <w:pPr>
              <w:rPr>
                <w:rFonts w:ascii="Times New Roman" w:hAnsi="Times New Roman"/>
                <w:sz w:val="24"/>
              </w:rPr>
            </w:pPr>
            <w:r>
              <w:rPr>
                <w:rFonts w:ascii="Times New Roman" w:hAnsi="Times New Roman"/>
                <w:sz w:val="24"/>
              </w:rPr>
              <w:t>0130</w:t>
            </w:r>
          </w:p>
        </w:tc>
        <w:tc>
          <w:tcPr>
            <w:tcW w:w="8131" w:type="dxa"/>
          </w:tcPr>
          <w:p w14:paraId="1301D1B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Stopnja proticikličnega kapitalskega blažilnika, ki se uporablja za državo institucije</w:t>
            </w:r>
          </w:p>
          <w:p w14:paraId="47D66D49"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Stopnja proticikličnega kapitalskega blažilnika, ki se uporablja za zadevno državo in ki jo je določil imenovani organ države institucije, v skladu s členi 137, 138 in 139, členom 140(2). točka (b), in členom 140(3), točka (a), Direktive 2013/36/EU. Stopnje proticikličnega kapitalskega blažilnika, ki se na referenčni datum poročanja še ne uporabljajo, se ne poročajo.</w:t>
            </w:r>
          </w:p>
          <w:p w14:paraId="082B5846" w14:textId="77777777" w:rsidR="009D6580" w:rsidRPr="002A677E" w:rsidRDefault="009D6580" w:rsidP="00822842">
            <w:pPr>
              <w:rPr>
                <w:rFonts w:ascii="Times New Roman" w:hAnsi="Times New Roman"/>
                <w:b/>
                <w:bCs/>
                <w:sz w:val="24"/>
                <w:u w:val="single"/>
              </w:rPr>
            </w:pPr>
            <w:r>
              <w:rPr>
                <w:rFonts w:ascii="Times New Roman" w:hAnsi="Times New Roman"/>
                <w:sz w:val="24"/>
              </w:rPr>
              <w:t>Informacije o stopnji proticikličnega kapitalskega blažilnika, ki se uporablja v državi institucije, se ne poročajo za postavko „Skupni znesek“ vseh držav.</w:t>
            </w:r>
          </w:p>
        </w:tc>
      </w:tr>
      <w:tr w:rsidR="009D6580" w:rsidRPr="002A677E" w14:paraId="3FF424DB" w14:textId="77777777" w:rsidTr="00822842">
        <w:tc>
          <w:tcPr>
            <w:tcW w:w="1697" w:type="dxa"/>
          </w:tcPr>
          <w:p w14:paraId="752F444A" w14:textId="77777777" w:rsidR="009D6580" w:rsidRPr="002A677E" w:rsidRDefault="009D6580" w:rsidP="00822842">
            <w:pPr>
              <w:rPr>
                <w:rFonts w:ascii="Times New Roman" w:hAnsi="Times New Roman"/>
                <w:sz w:val="24"/>
              </w:rPr>
            </w:pPr>
            <w:r>
              <w:rPr>
                <w:rFonts w:ascii="Times New Roman" w:hAnsi="Times New Roman"/>
                <w:sz w:val="24"/>
              </w:rPr>
              <w:t>0140</w:t>
            </w:r>
          </w:p>
        </w:tc>
        <w:tc>
          <w:tcPr>
            <w:tcW w:w="8131" w:type="dxa"/>
          </w:tcPr>
          <w:p w14:paraId="315BAE64"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 xml:space="preserve">Stopnja posamezni instituciji lastnega proticikličnega kapitalskega blažilnika </w:t>
            </w:r>
          </w:p>
          <w:p w14:paraId="253E0547"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Stopnja posamezni instituciji lastnega proticikličnega kapitalskega blažilnika, izračunana v skladu s členom 140(1) Direktive 2013/36/EU. </w:t>
            </w:r>
          </w:p>
          <w:p w14:paraId="575D2B3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Stopnja posamezni instituciji lastnega proticikličnega kapitalskega blažilnika se izračuna kot tehtano povprečje proticikličnih blažilnikov, ki se uporabljajo v jurisdikcijah, v katerih se nahajajo ustrezne kreditne izpostavljenosti institucije, ali ki se uporabljajo za namene člena 140 na podlagi člena 139, odstavek 2 ali 3 Direktive 2013/36/EU. Relevantna stopnja proticikličnega blažilnika se poroča v </w:t>
            </w:r>
            <w:r>
              <w:rPr>
                <w:rFonts w:ascii="Times New Roman" w:hAnsi="Times New Roman"/>
                <w:sz w:val="24"/>
              </w:rPr>
              <w:lastRenderedPageBreak/>
              <w:t>[v0120; s0020; obrazec za državo] ali [v0130; s0020; obrazec za državo], kot je ustrezno.</w:t>
            </w:r>
          </w:p>
          <w:p w14:paraId="2C4ECBB2" w14:textId="77777777" w:rsidR="009D6580" w:rsidRPr="002A677E" w:rsidRDefault="009D6580" w:rsidP="00822842">
            <w:pPr>
              <w:autoSpaceDE w:val="0"/>
              <w:autoSpaceDN w:val="0"/>
              <w:adjustRightInd w:val="0"/>
              <w:rPr>
                <w:rFonts w:ascii="Times New Roman" w:hAnsi="Times New Roman"/>
                <w:b/>
                <w:strike/>
                <w:sz w:val="24"/>
              </w:rPr>
            </w:pPr>
            <w:r>
              <w:rPr>
                <w:rFonts w:ascii="Times New Roman" w:hAnsi="Times New Roman"/>
                <w:sz w:val="24"/>
              </w:rPr>
              <w:t xml:space="preserve">Utež, ki se uporabi za stopnjo proticikličnega blažilnika v vsaki državi, je delež kapitalskih zahtev v skupnih kapitalskih zahtevah in se poroča v [v0110; s0020; obrazec za državo]. </w:t>
            </w:r>
          </w:p>
          <w:p w14:paraId="65E93DC9" w14:textId="77777777" w:rsidR="009D6580" w:rsidRPr="002A677E" w:rsidRDefault="009D6580" w:rsidP="00822842">
            <w:pPr>
              <w:rPr>
                <w:rFonts w:ascii="Times New Roman" w:hAnsi="Times New Roman"/>
                <w:b/>
                <w:bCs/>
                <w:sz w:val="24"/>
                <w:u w:val="single"/>
              </w:rPr>
            </w:pPr>
            <w:r>
              <w:rPr>
                <w:rFonts w:ascii="Times New Roman" w:hAnsi="Times New Roman"/>
                <w:sz w:val="24"/>
              </w:rPr>
              <w:t>Informacije o stopnji posamezni instituciji lastnega proticikličnega kapitalskega blažilnika, se poročajo samo za postavko „Skupni znesek“ vseh držav in ne ločeno za posamične države.</w:t>
            </w:r>
          </w:p>
        </w:tc>
      </w:tr>
      <w:tr w:rsidR="009D6580" w:rsidRPr="002A677E" w14:paraId="0CA64D03" w14:textId="77777777" w:rsidTr="00822842">
        <w:tc>
          <w:tcPr>
            <w:tcW w:w="1697" w:type="dxa"/>
          </w:tcPr>
          <w:p w14:paraId="1436C16C" w14:textId="77777777" w:rsidR="009D6580" w:rsidRPr="002A677E" w:rsidRDefault="009D6580" w:rsidP="00822842">
            <w:pPr>
              <w:rPr>
                <w:rFonts w:ascii="Times New Roman" w:hAnsi="Times New Roman"/>
                <w:sz w:val="24"/>
              </w:rPr>
            </w:pPr>
            <w:r>
              <w:rPr>
                <w:rFonts w:ascii="Times New Roman" w:hAnsi="Times New Roman"/>
                <w:sz w:val="24"/>
              </w:rPr>
              <w:lastRenderedPageBreak/>
              <w:t>0150–0160</w:t>
            </w:r>
          </w:p>
        </w:tc>
        <w:tc>
          <w:tcPr>
            <w:tcW w:w="8131" w:type="dxa"/>
          </w:tcPr>
          <w:p w14:paraId="13A71A3D"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Uporaba 2-odstotnega praga</w:t>
            </w:r>
          </w:p>
        </w:tc>
      </w:tr>
      <w:tr w:rsidR="009D6580" w:rsidRPr="002A677E" w14:paraId="4C39701D" w14:textId="77777777" w:rsidTr="00822842">
        <w:tc>
          <w:tcPr>
            <w:tcW w:w="1697" w:type="dxa"/>
          </w:tcPr>
          <w:p w14:paraId="62E51E11" w14:textId="77777777" w:rsidR="009D6580" w:rsidRPr="002A677E" w:rsidRDefault="009D6580" w:rsidP="00822842">
            <w:pPr>
              <w:rPr>
                <w:rFonts w:ascii="Times New Roman" w:hAnsi="Times New Roman"/>
                <w:sz w:val="24"/>
              </w:rPr>
            </w:pPr>
            <w:r>
              <w:rPr>
                <w:rFonts w:ascii="Times New Roman" w:hAnsi="Times New Roman"/>
                <w:sz w:val="24"/>
              </w:rPr>
              <w:t>0150</w:t>
            </w:r>
          </w:p>
        </w:tc>
        <w:tc>
          <w:tcPr>
            <w:tcW w:w="8131" w:type="dxa"/>
          </w:tcPr>
          <w:p w14:paraId="0ABF51F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b/>
                <w:sz w:val="24"/>
                <w:u w:val="single"/>
              </w:rPr>
              <w:t>Uporaba 2-odstotnega praga za splošno kreditno izpostavljenost</w:t>
            </w:r>
            <w:r>
              <w:rPr>
                <w:rFonts w:ascii="Times New Roman" w:hAnsi="Times New Roman"/>
                <w:sz w:val="24"/>
              </w:rPr>
              <w:t xml:space="preserve"> </w:t>
            </w:r>
          </w:p>
          <w:p w14:paraId="68B71CE8"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V skladu s členom 2(5), točka (b), Delegirane uredbe Komisije (EU) št. 1152/2014 se lahko tuje splošne izpostavljenosti kreditnemu tveganju, ki skupaj ne presegajo 2 % vsote splošnih kreditnih izpostavljenosti, izpostavljenosti v trgovalni knjigi in izpostavljenosti iz naslova listinjenja navedene institucije, razporedijo na matično državo članico institucije. Pri izračunu vsote splošnih kreditnih izpostavljenosti, izpostavljenosti v trgovalni knjigi in izpostavljenosti iz naslova listinjenja se izključijo splošne kreditne izpostavljenosti, ki se nahajajo na lokacijah iz člena 2(5), točka (a), in člena 2(4) Delegirane uredbe Komisije (EU) št. 1152/2014.</w:t>
            </w:r>
          </w:p>
          <w:p w14:paraId="53DCDD6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Če institucija uporabi to odstopanje, v predlogi navede „y“ za jurisdikcijo, ki ustreza njeni matični državi članici, in za postavko „Skupni znesek“ vseh držav.</w:t>
            </w:r>
          </w:p>
          <w:p w14:paraId="5B2597B2"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Če institucija ne uporabi tega odstopanja, v zadevni celici navede „n“.</w:t>
            </w:r>
          </w:p>
        </w:tc>
      </w:tr>
      <w:tr w:rsidR="009D6580" w:rsidRPr="002A677E" w14:paraId="7179BBF6" w14:textId="77777777" w:rsidTr="00822842">
        <w:tc>
          <w:tcPr>
            <w:tcW w:w="1697" w:type="dxa"/>
          </w:tcPr>
          <w:p w14:paraId="528EEA51" w14:textId="77777777" w:rsidR="009D6580" w:rsidRPr="002A677E" w:rsidRDefault="009D6580" w:rsidP="00822842">
            <w:pPr>
              <w:rPr>
                <w:rFonts w:ascii="Times New Roman" w:hAnsi="Times New Roman"/>
                <w:sz w:val="24"/>
              </w:rPr>
            </w:pPr>
            <w:r>
              <w:rPr>
                <w:rFonts w:ascii="Times New Roman" w:hAnsi="Times New Roman"/>
                <w:sz w:val="24"/>
              </w:rPr>
              <w:t>0160</w:t>
            </w:r>
          </w:p>
        </w:tc>
        <w:tc>
          <w:tcPr>
            <w:tcW w:w="8131" w:type="dxa"/>
          </w:tcPr>
          <w:p w14:paraId="4FC000D6"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b/>
                <w:sz w:val="24"/>
                <w:u w:val="single"/>
              </w:rPr>
              <w:t>Uporaba 2-odstotnega praga za izpostavljenost v trgovalni knjigi</w:t>
            </w:r>
          </w:p>
          <w:p w14:paraId="13ED02AA"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V skladu s členom 3(3) Delegirane uredbe Komisije (EU) št. 1152/2014 lahko institucije izpostavljenosti v trgovalni knjigi razporedijo na matično državo članico, če skupni znesek izpostavljenosti v trgovalni knjigi ne presega 2 % vsote njihovih splošnih kreditnih izpostavljenosti, izpostavljenosti v trgovalni knjigi in izpostavljenosti iz naslova listinjenja.</w:t>
            </w:r>
          </w:p>
          <w:p w14:paraId="068BDCF9" w14:textId="77777777" w:rsidR="009D6580" w:rsidRPr="002A677E" w:rsidRDefault="009D6580" w:rsidP="00822842">
            <w:pPr>
              <w:rPr>
                <w:rFonts w:ascii="Times New Roman" w:hAnsi="Times New Roman"/>
                <w:sz w:val="24"/>
              </w:rPr>
            </w:pPr>
            <w:r>
              <w:rPr>
                <w:rFonts w:ascii="Times New Roman" w:hAnsi="Times New Roman"/>
                <w:sz w:val="24"/>
              </w:rPr>
              <w:t>Če institucija uporabi to odstopanje, v predlogi navede „y“ za jurisdikcijo, ki ustreza njeni matični državi članici, in za postavko „Skupni znesek“ vseh držav.</w:t>
            </w:r>
          </w:p>
          <w:p w14:paraId="3EA8EC30" w14:textId="77777777" w:rsidR="009D6580" w:rsidRPr="002A677E" w:rsidRDefault="009D6580" w:rsidP="00822842">
            <w:pPr>
              <w:rPr>
                <w:rFonts w:ascii="Times New Roman" w:hAnsi="Times New Roman"/>
                <w:b/>
                <w:bCs/>
                <w:sz w:val="24"/>
                <w:u w:val="single"/>
              </w:rPr>
            </w:pPr>
            <w:r>
              <w:rPr>
                <w:rFonts w:ascii="Times New Roman" w:hAnsi="Times New Roman"/>
                <w:sz w:val="24"/>
              </w:rPr>
              <w:t>Če institucija ne uporabi tega odstopanja, v zadevni celici navede „n“.</w:t>
            </w:r>
          </w:p>
        </w:tc>
      </w:tr>
    </w:tbl>
    <w:p w14:paraId="41871259" w14:textId="77777777" w:rsidR="009D6580" w:rsidRDefault="009D6580"/>
    <w:p w14:paraId="6D451BBA" w14:textId="6ABD8DF4" w:rsidR="009D6580" w:rsidRPr="00DF1C5D" w:rsidRDefault="00DF1C5D">
      <w:pPr>
        <w:rPr>
          <w:rFonts w:ascii="Times New Roman" w:hAnsi="Times New Roman"/>
          <w:sz w:val="24"/>
          <w:szCs w:val="32"/>
        </w:rPr>
      </w:pPr>
      <w:r w:rsidRPr="00DF1C5D">
        <w:rPr>
          <w:rFonts w:ascii="Times New Roman" w:hAnsi="Times New Roman"/>
          <w:sz w:val="24"/>
          <w:szCs w:val="32"/>
        </w:rPr>
        <w:t>“</w:t>
      </w:r>
    </w:p>
    <w:sectPr w:rsidR="009D6580" w:rsidRPr="00DF1C5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93790" w14:textId="77777777" w:rsidR="00071022" w:rsidRDefault="00071022" w:rsidP="00E26A90">
      <w:pPr>
        <w:spacing w:after="0"/>
      </w:pPr>
      <w:r>
        <w:separator/>
      </w:r>
    </w:p>
  </w:endnote>
  <w:endnote w:type="continuationSeparator" w:id="0">
    <w:p w14:paraId="0E38E4C2" w14:textId="77777777" w:rsidR="00071022" w:rsidRDefault="00071022"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charset w:val="00"/>
    <w:family w:val="auto"/>
    <w:pitch w:val="variable"/>
    <w:sig w:usb0="800002EF" w:usb1="1000E0FB"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6DF55" w14:textId="77777777" w:rsidR="00071022" w:rsidRDefault="00071022" w:rsidP="00E26A90">
      <w:pPr>
        <w:spacing w:after="0"/>
      </w:pPr>
      <w:r>
        <w:separator/>
      </w:r>
    </w:p>
  </w:footnote>
  <w:footnote w:type="continuationSeparator" w:id="0">
    <w:p w14:paraId="0EAFC9C2" w14:textId="77777777" w:rsidR="00071022" w:rsidRDefault="00071022" w:rsidP="00E26A90">
      <w:pPr>
        <w:spacing w:after="0"/>
      </w:pPr>
      <w:r>
        <w:continuationSeparator/>
      </w:r>
    </w:p>
  </w:footnote>
  <w:footnote w:id="1">
    <w:p w14:paraId="662CB3FE" w14:textId="77777777" w:rsidR="009D6580" w:rsidRPr="0002267E" w:rsidRDefault="009D6580" w:rsidP="009D6580">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Delegirana uredba Komisije (EU) št. 1152/2014 z dne 4. junija 2014 o dopolnitvi Direktive 2013/36/EU Evropskega parlamenta in Sveta v zvezi z regulativnimi tehničnimi standardi za določitev geografske lokacije ustreznih kreditnih izpostavljenosti za izračun stopenj posamezni instituciji lastnega proticikličnega kapitalskega blažilnika (UL L 309, 30.10.2014, str.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19"/>
  </w:num>
  <w:num w:numId="3" w16cid:durableId="286200695">
    <w:abstractNumId w:val="27"/>
  </w:num>
  <w:num w:numId="4" w16cid:durableId="487287975">
    <w:abstractNumId w:val="14"/>
  </w:num>
  <w:num w:numId="5" w16cid:durableId="1754350949">
    <w:abstractNumId w:val="22"/>
  </w:num>
  <w:num w:numId="6" w16cid:durableId="1507597667">
    <w:abstractNumId w:val="12"/>
  </w:num>
  <w:num w:numId="7" w16cid:durableId="139271283">
    <w:abstractNumId w:val="26"/>
  </w:num>
  <w:num w:numId="8" w16cid:durableId="763764270">
    <w:abstractNumId w:val="5"/>
  </w:num>
  <w:num w:numId="9" w16cid:durableId="1561986968">
    <w:abstractNumId w:val="20"/>
  </w:num>
  <w:num w:numId="10" w16cid:durableId="1349260748">
    <w:abstractNumId w:val="10"/>
  </w:num>
  <w:num w:numId="11" w16cid:durableId="1097991330">
    <w:abstractNumId w:val="16"/>
  </w:num>
  <w:num w:numId="12" w16cid:durableId="858469680">
    <w:abstractNumId w:val="6"/>
  </w:num>
  <w:num w:numId="13" w16cid:durableId="1485394352">
    <w:abstractNumId w:val="21"/>
  </w:num>
  <w:num w:numId="14" w16cid:durableId="881021889">
    <w:abstractNumId w:val="18"/>
  </w:num>
  <w:num w:numId="15" w16cid:durableId="1923681300">
    <w:abstractNumId w:val="9"/>
  </w:num>
  <w:num w:numId="16" w16cid:durableId="211188018">
    <w:abstractNumId w:val="15"/>
  </w:num>
  <w:num w:numId="17" w16cid:durableId="373817584">
    <w:abstractNumId w:val="8"/>
  </w:num>
  <w:num w:numId="18" w16cid:durableId="1615165847">
    <w:abstractNumId w:val="23"/>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5"/>
  </w:num>
  <w:num w:numId="24" w16cid:durableId="166527561">
    <w:abstractNumId w:val="1"/>
  </w:num>
  <w:num w:numId="25" w16cid:durableId="1544101633">
    <w:abstractNumId w:val="24"/>
  </w:num>
  <w:num w:numId="26" w16cid:durableId="44380249">
    <w:abstractNumId w:val="17"/>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1099"/>
    <w:rsid w:val="00071022"/>
    <w:rsid w:val="000C5380"/>
    <w:rsid w:val="00117723"/>
    <w:rsid w:val="00123FDD"/>
    <w:rsid w:val="001A2CA7"/>
    <w:rsid w:val="0020657D"/>
    <w:rsid w:val="00234FB5"/>
    <w:rsid w:val="0035336C"/>
    <w:rsid w:val="00381D02"/>
    <w:rsid w:val="003C36D5"/>
    <w:rsid w:val="003D18F9"/>
    <w:rsid w:val="005644CB"/>
    <w:rsid w:val="005B37F0"/>
    <w:rsid w:val="005E7811"/>
    <w:rsid w:val="00631623"/>
    <w:rsid w:val="0064771D"/>
    <w:rsid w:val="00681B25"/>
    <w:rsid w:val="006D3385"/>
    <w:rsid w:val="007F4E89"/>
    <w:rsid w:val="00837F98"/>
    <w:rsid w:val="00910F63"/>
    <w:rsid w:val="009860C5"/>
    <w:rsid w:val="009D6580"/>
    <w:rsid w:val="00A6002C"/>
    <w:rsid w:val="00A931D0"/>
    <w:rsid w:val="00AF2BE6"/>
    <w:rsid w:val="00B3003C"/>
    <w:rsid w:val="00B56773"/>
    <w:rsid w:val="00B71F25"/>
    <w:rsid w:val="00BA13AD"/>
    <w:rsid w:val="00C04862"/>
    <w:rsid w:val="00D25C41"/>
    <w:rsid w:val="00DD798A"/>
    <w:rsid w:val="00DF1C5D"/>
    <w:rsid w:val="00E26A90"/>
    <w:rsid w:val="00E50DD0"/>
    <w:rsid w:val="00EF07A1"/>
    <w:rsid w:val="00F16E4D"/>
    <w:rsid w:val="00FB1404"/>
    <w:rsid w:val="00FD0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580"/>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D658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D6580"/>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D658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D6580"/>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D658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D658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D658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D658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D658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D6580"/>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D6580"/>
    <w:rPr>
      <w:rFonts w:ascii="Verdana" w:eastAsia="Arial" w:hAnsi="Verdana" w:cs="Times New Roman"/>
      <w:b/>
      <w:kern w:val="0"/>
      <w:sz w:val="24"/>
      <w:szCs w:val="24"/>
      <w:u w:val="single"/>
      <w:lang w:val="sl-SI" w:eastAsia="x-none"/>
      <w14:ligatures w14:val="none"/>
    </w:rPr>
  </w:style>
  <w:style w:type="character" w:customStyle="1" w:styleId="Heading3Char">
    <w:name w:val="Heading 3 Char"/>
    <w:aliases w:val="Title 2 Char"/>
    <w:basedOn w:val="DefaultParagraphFont"/>
    <w:uiPriority w:val="99"/>
    <w:rsid w:val="009D658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D6580"/>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D6580"/>
    <w:rPr>
      <w:rFonts w:ascii="Arial" w:eastAsia="Arial" w:hAnsi="Arial" w:cs="Times New Roman"/>
      <w:b/>
      <w:i/>
      <w:kern w:val="0"/>
      <w:sz w:val="20"/>
      <w:szCs w:val="20"/>
      <w:lang w:val="sl-SI" w:eastAsia="de-DE"/>
      <w14:ligatures w14:val="none"/>
    </w:rPr>
  </w:style>
  <w:style w:type="character" w:customStyle="1" w:styleId="Heading6Char">
    <w:name w:val="Heading 6 Char"/>
    <w:basedOn w:val="DefaultParagraphFont"/>
    <w:link w:val="Heading6"/>
    <w:rsid w:val="009D6580"/>
    <w:rPr>
      <w:rFonts w:ascii="Times New Roman" w:eastAsia="Arial" w:hAnsi="Times New Roman" w:cs="Times New Roman"/>
      <w:b/>
      <w:bCs/>
      <w:kern w:val="0"/>
      <w:sz w:val="20"/>
      <w:szCs w:val="20"/>
      <w:lang w:val="sl-SI" w:eastAsia="de-DE"/>
      <w14:ligatures w14:val="none"/>
    </w:rPr>
  </w:style>
  <w:style w:type="character" w:customStyle="1" w:styleId="Heading7Char">
    <w:name w:val="Heading 7 Char"/>
    <w:basedOn w:val="DefaultParagraphFont"/>
    <w:link w:val="Heading7"/>
    <w:rsid w:val="009D6580"/>
    <w:rPr>
      <w:rFonts w:ascii="Times New Roman" w:eastAsia="Arial" w:hAnsi="Times New Roman" w:cs="Times New Roman"/>
      <w:kern w:val="0"/>
      <w:sz w:val="20"/>
      <w:szCs w:val="20"/>
      <w:lang w:val="sl-SI" w:eastAsia="de-DE"/>
      <w14:ligatures w14:val="none"/>
    </w:rPr>
  </w:style>
  <w:style w:type="character" w:customStyle="1" w:styleId="Heading8Char">
    <w:name w:val="Heading 8 Char"/>
    <w:basedOn w:val="DefaultParagraphFont"/>
    <w:link w:val="Heading8"/>
    <w:rsid w:val="009D6580"/>
    <w:rPr>
      <w:rFonts w:ascii="Times New Roman" w:eastAsia="Arial" w:hAnsi="Times New Roman" w:cs="Times New Roman"/>
      <w:i/>
      <w:iCs/>
      <w:kern w:val="0"/>
      <w:sz w:val="20"/>
      <w:szCs w:val="20"/>
      <w:lang w:val="sl-SI" w:eastAsia="de-DE"/>
      <w14:ligatures w14:val="none"/>
    </w:rPr>
  </w:style>
  <w:style w:type="character" w:customStyle="1" w:styleId="Heading9Char">
    <w:name w:val="Heading 9 Char"/>
    <w:basedOn w:val="DefaultParagraphFont"/>
    <w:link w:val="Heading9"/>
    <w:rsid w:val="009D6580"/>
    <w:rPr>
      <w:rFonts w:ascii="Arial" w:eastAsia="Arial" w:hAnsi="Arial" w:cs="Times New Roman"/>
      <w:kern w:val="0"/>
      <w:sz w:val="20"/>
      <w:szCs w:val="20"/>
      <w:lang w:val="sl-SI" w:eastAsia="de-DE"/>
      <w14:ligatures w14:val="none"/>
    </w:rPr>
  </w:style>
  <w:style w:type="paragraph" w:styleId="TableofFigures">
    <w:name w:val="table of figures"/>
    <w:basedOn w:val="Normal"/>
    <w:next w:val="Normal"/>
    <w:qFormat/>
    <w:rsid w:val="009D6580"/>
    <w:pPr>
      <w:ind w:left="440" w:hanging="440"/>
    </w:pPr>
  </w:style>
  <w:style w:type="paragraph" w:customStyle="1" w:styleId="Aufzhlungszeichen1">
    <w:name w:val="Aufzählungszeichen1"/>
    <w:basedOn w:val="Normal"/>
    <w:uiPriority w:val="1"/>
    <w:qFormat/>
    <w:rsid w:val="009D6580"/>
    <w:pPr>
      <w:numPr>
        <w:numId w:val="1"/>
      </w:numPr>
      <w:spacing w:line="240" w:lineRule="exact"/>
    </w:pPr>
  </w:style>
  <w:style w:type="paragraph" w:customStyle="1" w:styleId="Aufzhlungszeichen2">
    <w:name w:val="Aufzählungszeichen2"/>
    <w:basedOn w:val="Normal"/>
    <w:uiPriority w:val="1"/>
    <w:qFormat/>
    <w:rsid w:val="009D6580"/>
    <w:pPr>
      <w:numPr>
        <w:numId w:val="2"/>
      </w:numPr>
      <w:spacing w:line="240" w:lineRule="exact"/>
    </w:pPr>
  </w:style>
  <w:style w:type="paragraph" w:customStyle="1" w:styleId="Aufzhlungszeichen3">
    <w:name w:val="Aufzählungszeichen3"/>
    <w:basedOn w:val="Normal"/>
    <w:uiPriority w:val="1"/>
    <w:qFormat/>
    <w:rsid w:val="009D6580"/>
    <w:pPr>
      <w:numPr>
        <w:numId w:val="3"/>
      </w:numPr>
      <w:spacing w:line="240" w:lineRule="exact"/>
    </w:pPr>
  </w:style>
  <w:style w:type="paragraph" w:customStyle="1" w:styleId="Aufzhlungszeichen4">
    <w:name w:val="Aufzählungszeichen4"/>
    <w:basedOn w:val="Normal"/>
    <w:uiPriority w:val="1"/>
    <w:qFormat/>
    <w:rsid w:val="009D6580"/>
    <w:pPr>
      <w:numPr>
        <w:numId w:val="4"/>
      </w:numPr>
      <w:spacing w:line="240" w:lineRule="exact"/>
    </w:pPr>
  </w:style>
  <w:style w:type="paragraph" w:styleId="FootnoteText">
    <w:name w:val="footnote text"/>
    <w:basedOn w:val="Normal"/>
    <w:link w:val="FootnoteTextChar"/>
    <w:qFormat/>
    <w:rsid w:val="009D6580"/>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D6580"/>
    <w:rPr>
      <w:rFonts w:ascii="Arial" w:eastAsia="Arial" w:hAnsi="Arial" w:cs="Times New Roman"/>
      <w:kern w:val="0"/>
      <w:sz w:val="16"/>
      <w:szCs w:val="16"/>
      <w:lang w:val="sl-SI"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D6580"/>
    <w:rPr>
      <w:rFonts w:ascii="Arial" w:hAnsi="Arial" w:cs="Times New Roman"/>
      <w:kern w:val="0"/>
      <w:position w:val="4"/>
      <w:sz w:val="12"/>
      <w:szCs w:val="12"/>
      <w:vertAlign w:val="baseline"/>
    </w:rPr>
  </w:style>
  <w:style w:type="paragraph" w:styleId="Footer">
    <w:name w:val="footer"/>
    <w:basedOn w:val="Normal"/>
    <w:link w:val="FooterChar"/>
    <w:uiPriority w:val="99"/>
    <w:rsid w:val="009D658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D6580"/>
    <w:rPr>
      <w:rFonts w:ascii="Arial" w:eastAsia="Arial" w:hAnsi="Arial" w:cs="Times New Roman"/>
      <w:kern w:val="0"/>
      <w:sz w:val="14"/>
      <w:szCs w:val="14"/>
      <w:lang w:val="sl-SI" w:eastAsia="de-DE"/>
      <w14:ligatures w14:val="none"/>
    </w:rPr>
  </w:style>
  <w:style w:type="paragraph" w:customStyle="1" w:styleId="GliederungmitAufzhlung">
    <w:name w:val="Gliederung mit Aufzählung"/>
    <w:basedOn w:val="Normal"/>
    <w:uiPriority w:val="1"/>
    <w:qFormat/>
    <w:rsid w:val="009D6580"/>
    <w:pPr>
      <w:numPr>
        <w:numId w:val="7"/>
      </w:numPr>
      <w:spacing w:line="312" w:lineRule="auto"/>
    </w:pPr>
  </w:style>
  <w:style w:type="paragraph" w:customStyle="1" w:styleId="GliederungmitNummerierung">
    <w:name w:val="Gliederung mit Nummerierung"/>
    <w:basedOn w:val="Normal"/>
    <w:uiPriority w:val="1"/>
    <w:qFormat/>
    <w:rsid w:val="009D6580"/>
    <w:pPr>
      <w:numPr>
        <w:numId w:val="8"/>
      </w:numPr>
      <w:spacing w:line="312" w:lineRule="auto"/>
    </w:pPr>
  </w:style>
  <w:style w:type="paragraph" w:customStyle="1" w:styleId="HngEinrckung1">
    <w:name w:val="Häng. Einrückung1"/>
    <w:basedOn w:val="Normal"/>
    <w:uiPriority w:val="1"/>
    <w:qFormat/>
    <w:rsid w:val="009D6580"/>
    <w:pPr>
      <w:spacing w:line="312" w:lineRule="auto"/>
      <w:ind w:left="567" w:hanging="567"/>
    </w:pPr>
  </w:style>
  <w:style w:type="paragraph" w:customStyle="1" w:styleId="HngEinrckung2">
    <w:name w:val="Häng. Einrückung2"/>
    <w:basedOn w:val="Normal"/>
    <w:uiPriority w:val="1"/>
    <w:qFormat/>
    <w:rsid w:val="009D6580"/>
    <w:pPr>
      <w:spacing w:line="312" w:lineRule="auto"/>
      <w:ind w:left="1134" w:hanging="567"/>
    </w:pPr>
  </w:style>
  <w:style w:type="paragraph" w:customStyle="1" w:styleId="HngEinrckung3">
    <w:name w:val="Häng. Einrückung3"/>
    <w:basedOn w:val="Normal"/>
    <w:uiPriority w:val="1"/>
    <w:qFormat/>
    <w:rsid w:val="009D6580"/>
    <w:pPr>
      <w:spacing w:line="312" w:lineRule="auto"/>
      <w:ind w:left="1701" w:hanging="567"/>
    </w:pPr>
  </w:style>
  <w:style w:type="character" w:styleId="Hyperlink">
    <w:name w:val="Hyperlink"/>
    <w:uiPriority w:val="99"/>
    <w:rsid w:val="009D6580"/>
    <w:rPr>
      <w:rFonts w:cs="Times New Roman"/>
      <w:color w:val="0000FF"/>
      <w:u w:val="single"/>
    </w:rPr>
  </w:style>
  <w:style w:type="paragraph" w:customStyle="1" w:styleId="Marginalspalte">
    <w:name w:val="Marginalspalte"/>
    <w:basedOn w:val="Normal"/>
    <w:uiPriority w:val="1"/>
    <w:qFormat/>
    <w:rsid w:val="009D6580"/>
    <w:pPr>
      <w:framePr w:w="851" w:h="851" w:hSpace="284" w:wrap="around" w:vAnchor="text" w:hAnchor="page" w:y="1"/>
    </w:pPr>
    <w:rPr>
      <w:i/>
      <w:szCs w:val="22"/>
    </w:rPr>
  </w:style>
  <w:style w:type="paragraph" w:customStyle="1" w:styleId="Nummerierungsart1">
    <w:name w:val="Nummerierungsart1"/>
    <w:basedOn w:val="Normal"/>
    <w:uiPriority w:val="1"/>
    <w:qFormat/>
    <w:rsid w:val="009D6580"/>
    <w:pPr>
      <w:numPr>
        <w:numId w:val="9"/>
      </w:numPr>
    </w:pPr>
  </w:style>
  <w:style w:type="paragraph" w:customStyle="1" w:styleId="Nummerierungsart2">
    <w:name w:val="Nummerierungsart2"/>
    <w:basedOn w:val="Normal"/>
    <w:uiPriority w:val="1"/>
    <w:qFormat/>
    <w:rsid w:val="009D6580"/>
    <w:pPr>
      <w:numPr>
        <w:numId w:val="10"/>
      </w:numPr>
    </w:pPr>
  </w:style>
  <w:style w:type="paragraph" w:customStyle="1" w:styleId="Nummerierungsart3">
    <w:name w:val="Nummerierungsart3"/>
    <w:basedOn w:val="Normal"/>
    <w:uiPriority w:val="1"/>
    <w:qFormat/>
    <w:rsid w:val="009D6580"/>
    <w:pPr>
      <w:numPr>
        <w:numId w:val="11"/>
      </w:numPr>
    </w:pPr>
  </w:style>
  <w:style w:type="paragraph" w:customStyle="1" w:styleId="Nummerierungsart4">
    <w:name w:val="Nummerierungsart4"/>
    <w:basedOn w:val="Normal"/>
    <w:uiPriority w:val="1"/>
    <w:qFormat/>
    <w:rsid w:val="009D6580"/>
    <w:pPr>
      <w:numPr>
        <w:numId w:val="12"/>
      </w:numPr>
    </w:pPr>
  </w:style>
  <w:style w:type="character" w:styleId="PageNumber">
    <w:name w:val="page number"/>
    <w:uiPriority w:val="99"/>
    <w:rsid w:val="009D6580"/>
    <w:rPr>
      <w:rFonts w:ascii="Arial" w:hAnsi="Arial" w:cs="Times New Roman"/>
      <w:sz w:val="22"/>
    </w:rPr>
  </w:style>
  <w:style w:type="character" w:customStyle="1" w:styleId="Heading3Char1">
    <w:name w:val="Heading 3 Char1"/>
    <w:aliases w:val="Title 2 Char1"/>
    <w:link w:val="Heading3"/>
    <w:uiPriority w:val="99"/>
    <w:locked/>
    <w:rsid w:val="009D6580"/>
    <w:rPr>
      <w:rFonts w:ascii="Arial" w:eastAsia="Arial" w:hAnsi="Arial" w:cs="Times New Roman"/>
      <w:b/>
      <w:kern w:val="0"/>
      <w:sz w:val="20"/>
      <w:szCs w:val="20"/>
      <w:lang w:val="sl-SI" w:eastAsia="de-DE"/>
      <w14:ligatures w14:val="none"/>
    </w:rPr>
  </w:style>
  <w:style w:type="paragraph" w:styleId="TOC1">
    <w:name w:val="toc 1"/>
    <w:basedOn w:val="Normal"/>
    <w:next w:val="Normal"/>
    <w:autoRedefine/>
    <w:uiPriority w:val="39"/>
    <w:qFormat/>
    <w:rsid w:val="009D658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D6580"/>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D658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D658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D6580"/>
    <w:pPr>
      <w:tabs>
        <w:tab w:val="right" w:leader="dot" w:pos="9071"/>
      </w:tabs>
      <w:ind w:left="1134" w:hanging="1134"/>
    </w:pPr>
    <w:rPr>
      <w:sz w:val="16"/>
    </w:rPr>
  </w:style>
  <w:style w:type="paragraph" w:styleId="TOC8">
    <w:name w:val="toc 8"/>
    <w:basedOn w:val="Normal"/>
    <w:next w:val="Normal"/>
    <w:autoRedefine/>
    <w:uiPriority w:val="39"/>
    <w:rsid w:val="009D658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D6580"/>
    <w:pPr>
      <w:tabs>
        <w:tab w:val="right" w:leader="dot" w:pos="9071"/>
      </w:tabs>
      <w:ind w:left="1361" w:hanging="1361"/>
    </w:pPr>
    <w:rPr>
      <w:sz w:val="16"/>
    </w:rPr>
  </w:style>
  <w:style w:type="paragraph" w:styleId="Quote">
    <w:name w:val="Quote"/>
    <w:basedOn w:val="Normal"/>
    <w:next w:val="Normal"/>
    <w:link w:val="QuoteChar"/>
    <w:uiPriority w:val="29"/>
    <w:qFormat/>
    <w:rsid w:val="009D658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D6580"/>
    <w:rPr>
      <w:rFonts w:ascii="Arial" w:eastAsia="Arial" w:hAnsi="Arial" w:cs="Times New Roman"/>
      <w:i/>
      <w:iCs/>
      <w:color w:val="000000"/>
      <w:kern w:val="0"/>
      <w:sz w:val="20"/>
      <w:szCs w:val="20"/>
      <w:lang w:val="sl-SI" w:eastAsia="de-DE"/>
      <w14:ligatures w14:val="none"/>
    </w:rPr>
  </w:style>
  <w:style w:type="paragraph" w:styleId="TOCHeading">
    <w:name w:val="TOC Heading"/>
    <w:basedOn w:val="Heading1"/>
    <w:next w:val="Normal"/>
    <w:uiPriority w:val="39"/>
    <w:qFormat/>
    <w:rsid w:val="009D658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D658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D6580"/>
    <w:rPr>
      <w:rFonts w:ascii="Arial" w:eastAsia="Arial" w:hAnsi="Arial" w:cs="Times New Roman"/>
      <w:kern w:val="0"/>
      <w:sz w:val="20"/>
      <w:szCs w:val="20"/>
      <w:lang w:val="sl-SI" w:eastAsia="de-DE"/>
      <w14:ligatures w14:val="none"/>
    </w:rPr>
  </w:style>
  <w:style w:type="character" w:styleId="EndnoteReference">
    <w:name w:val="endnote reference"/>
    <w:uiPriority w:val="1"/>
    <w:rsid w:val="009D6580"/>
    <w:rPr>
      <w:rFonts w:ascii="Arial" w:hAnsi="Arial" w:cs="Times New Roman"/>
      <w:color w:val="auto"/>
      <w:position w:val="4"/>
      <w:sz w:val="12"/>
      <w:vertAlign w:val="baseline"/>
    </w:rPr>
  </w:style>
  <w:style w:type="paragraph" w:customStyle="1" w:styleId="Ballontekst">
    <w:name w:val="Ballontekst"/>
    <w:basedOn w:val="Normal"/>
    <w:uiPriority w:val="99"/>
    <w:semiHidden/>
    <w:rsid w:val="009D6580"/>
    <w:rPr>
      <w:rFonts w:ascii="Tahoma" w:hAnsi="Tahoma" w:cs="Tahoma"/>
      <w:sz w:val="16"/>
      <w:szCs w:val="16"/>
    </w:rPr>
  </w:style>
  <w:style w:type="character" w:styleId="CommentReference">
    <w:name w:val="annotation reference"/>
    <w:uiPriority w:val="99"/>
    <w:rsid w:val="009D6580"/>
    <w:rPr>
      <w:rFonts w:cs="Times New Roman"/>
      <w:sz w:val="16"/>
      <w:szCs w:val="16"/>
    </w:rPr>
  </w:style>
  <w:style w:type="paragraph" w:styleId="CommentText">
    <w:name w:val="annotation text"/>
    <w:basedOn w:val="Normal"/>
    <w:link w:val="CommentTextChar"/>
    <w:uiPriority w:val="99"/>
    <w:rsid w:val="009D6580"/>
    <w:rPr>
      <w:rFonts w:eastAsia="Arial"/>
      <w:szCs w:val="20"/>
      <w:lang w:eastAsia="x-none"/>
    </w:rPr>
  </w:style>
  <w:style w:type="character" w:customStyle="1" w:styleId="CommentTextChar">
    <w:name w:val="Comment Text Char"/>
    <w:basedOn w:val="DefaultParagraphFont"/>
    <w:link w:val="CommentText"/>
    <w:uiPriority w:val="99"/>
    <w:rsid w:val="009D6580"/>
    <w:rPr>
      <w:rFonts w:ascii="Verdana" w:eastAsia="Arial" w:hAnsi="Verdana" w:cs="Times New Roman"/>
      <w:kern w:val="0"/>
      <w:sz w:val="20"/>
      <w:szCs w:val="20"/>
      <w:lang w:val="sl-SI" w:eastAsia="x-none"/>
      <w14:ligatures w14:val="none"/>
    </w:rPr>
  </w:style>
  <w:style w:type="paragraph" w:customStyle="1" w:styleId="Onderwerpvanopmerking">
    <w:name w:val="Onderwerp van opmerking"/>
    <w:basedOn w:val="CommentText"/>
    <w:next w:val="CommentText"/>
    <w:uiPriority w:val="99"/>
    <w:semiHidden/>
    <w:rsid w:val="009D6580"/>
    <w:rPr>
      <w:b/>
      <w:bCs/>
    </w:rPr>
  </w:style>
  <w:style w:type="character" w:styleId="FollowedHyperlink">
    <w:name w:val="FollowedHyperlink"/>
    <w:uiPriority w:val="99"/>
    <w:rsid w:val="009D6580"/>
    <w:rPr>
      <w:rFonts w:cs="Times New Roman"/>
      <w:color w:val="606420"/>
      <w:u w:val="single"/>
    </w:rPr>
  </w:style>
  <w:style w:type="paragraph" w:styleId="BalloonText">
    <w:name w:val="Balloon Text"/>
    <w:basedOn w:val="Normal"/>
    <w:link w:val="BalloonTextChar"/>
    <w:uiPriority w:val="99"/>
    <w:rsid w:val="009D658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D6580"/>
    <w:rPr>
      <w:rFonts w:ascii="Tahoma" w:eastAsia="Arial" w:hAnsi="Tahoma" w:cs="Times New Roman"/>
      <w:kern w:val="0"/>
      <w:sz w:val="16"/>
      <w:szCs w:val="16"/>
      <w:lang w:val="sl-SI" w:eastAsia="x-none"/>
      <w14:ligatures w14:val="none"/>
    </w:rPr>
  </w:style>
  <w:style w:type="paragraph" w:styleId="CommentSubject">
    <w:name w:val="annotation subject"/>
    <w:basedOn w:val="CommentText"/>
    <w:next w:val="CommentText"/>
    <w:link w:val="CommentSubjectChar"/>
    <w:uiPriority w:val="99"/>
    <w:rsid w:val="009D6580"/>
    <w:rPr>
      <w:b/>
      <w:bCs/>
    </w:rPr>
  </w:style>
  <w:style w:type="character" w:customStyle="1" w:styleId="CommentSubjectChar">
    <w:name w:val="Comment Subject Char"/>
    <w:basedOn w:val="CommentTextChar"/>
    <w:link w:val="CommentSubject"/>
    <w:uiPriority w:val="99"/>
    <w:rsid w:val="009D6580"/>
    <w:rPr>
      <w:rFonts w:ascii="Verdana" w:eastAsia="Arial" w:hAnsi="Verdana" w:cs="Times New Roman"/>
      <w:b/>
      <w:bCs/>
      <w:kern w:val="0"/>
      <w:sz w:val="20"/>
      <w:szCs w:val="20"/>
      <w:lang w:val="sl-SI" w:eastAsia="x-none"/>
      <w14:ligatures w14:val="none"/>
    </w:rPr>
  </w:style>
  <w:style w:type="table" w:styleId="TableGrid">
    <w:name w:val="Table Grid"/>
    <w:aliases w:val="Tabla CUADROS"/>
    <w:basedOn w:val="TableNormal"/>
    <w:uiPriority w:val="59"/>
    <w:rsid w:val="009D658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D6580"/>
    <w:pPr>
      <w:spacing w:before="240" w:after="60"/>
    </w:pPr>
    <w:rPr>
      <w:iCs/>
      <w:szCs w:val="28"/>
    </w:rPr>
  </w:style>
  <w:style w:type="character" w:customStyle="1" w:styleId="Formatvorlageberschrift4Char">
    <w:name w:val="Formatvorlage Überschrift 4 Char"/>
    <w:link w:val="Formatvorlageberschrift4"/>
    <w:uiPriority w:val="99"/>
    <w:locked/>
    <w:rsid w:val="009D658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D6580"/>
    <w:pPr>
      <w:tabs>
        <w:tab w:val="num" w:pos="540"/>
      </w:tabs>
      <w:spacing w:before="240"/>
      <w:ind w:left="540" w:hanging="540"/>
    </w:pPr>
    <w:rPr>
      <w:b w:val="0"/>
      <w:kern w:val="32"/>
    </w:rPr>
  </w:style>
  <w:style w:type="paragraph" w:customStyle="1" w:styleId="Instructionsberschrift2">
    <w:name w:val="Instructions Überschrift 2"/>
    <w:basedOn w:val="Heading2"/>
    <w:rsid w:val="009D6580"/>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D6580"/>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D658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D658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D6580"/>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D658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D6580"/>
    <w:rPr>
      <w:rFonts w:ascii="Verdana" w:hAnsi="Verdana" w:cs="Times New Roman"/>
      <w:b/>
      <w:bCs/>
      <w:sz w:val="20"/>
      <w:u w:val="single"/>
    </w:rPr>
  </w:style>
  <w:style w:type="character" w:customStyle="1" w:styleId="InstructionsTabelleText">
    <w:name w:val="Instructions Tabelle Text"/>
    <w:rsid w:val="009D6580"/>
    <w:rPr>
      <w:rFonts w:ascii="Verdana" w:hAnsi="Verdana" w:cs="Times New Roman"/>
      <w:sz w:val="20"/>
    </w:rPr>
  </w:style>
  <w:style w:type="character" w:customStyle="1" w:styleId="FormatvorlageInstructionsTabelleText">
    <w:name w:val="Formatvorlage Instructions Tabelle Text"/>
    <w:uiPriority w:val="99"/>
    <w:qFormat/>
    <w:rsid w:val="009D658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D6580"/>
    <w:pPr>
      <w:ind w:left="0" w:firstLine="0"/>
    </w:pPr>
    <w:rPr>
      <w:szCs w:val="20"/>
    </w:rPr>
  </w:style>
  <w:style w:type="paragraph" w:customStyle="1" w:styleId="Texte2">
    <w:name w:val="Texte 2"/>
    <w:basedOn w:val="Normal"/>
    <w:uiPriority w:val="99"/>
    <w:rsid w:val="009D6580"/>
    <w:pPr>
      <w:spacing w:after="0"/>
      <w:ind w:left="567"/>
    </w:pPr>
    <w:rPr>
      <w:sz w:val="22"/>
      <w:szCs w:val="20"/>
      <w:lang w:eastAsia="fr-FR"/>
    </w:rPr>
  </w:style>
  <w:style w:type="paragraph" w:customStyle="1" w:styleId="Prrafodelista1">
    <w:name w:val="Párrafo de lista1"/>
    <w:basedOn w:val="Normal"/>
    <w:uiPriority w:val="99"/>
    <w:rsid w:val="009D6580"/>
    <w:pPr>
      <w:ind w:left="720"/>
    </w:pPr>
  </w:style>
  <w:style w:type="paragraph" w:customStyle="1" w:styleId="Prrafodelista2">
    <w:name w:val="Párrafo de lista2"/>
    <w:basedOn w:val="Normal"/>
    <w:uiPriority w:val="99"/>
    <w:rsid w:val="009D6580"/>
    <w:pPr>
      <w:ind w:left="708"/>
    </w:pPr>
  </w:style>
  <w:style w:type="paragraph" w:styleId="PlainText">
    <w:name w:val="Plain Text"/>
    <w:basedOn w:val="Normal"/>
    <w:link w:val="PlainTextChar"/>
    <w:uiPriority w:val="99"/>
    <w:rsid w:val="009D658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D6580"/>
    <w:rPr>
      <w:rFonts w:ascii="Verdana" w:eastAsia="Arial" w:hAnsi="Verdana" w:cs="Times New Roman"/>
      <w:kern w:val="0"/>
      <w:sz w:val="20"/>
      <w:szCs w:val="20"/>
      <w:lang w:val="sl-SI" w:eastAsia="es-ES_tradnl"/>
      <w14:ligatures w14:val="none"/>
    </w:rPr>
  </w:style>
  <w:style w:type="paragraph" w:customStyle="1" w:styleId="Listenabsatz1">
    <w:name w:val="Listenabsatz1"/>
    <w:basedOn w:val="Normal"/>
    <w:uiPriority w:val="99"/>
    <w:rsid w:val="009D6580"/>
    <w:pPr>
      <w:ind w:left="708"/>
    </w:pPr>
  </w:style>
  <w:style w:type="character" w:customStyle="1" w:styleId="InstructionsTextChar">
    <w:name w:val="Instructions Text Char"/>
    <w:link w:val="InstructionsText"/>
    <w:locked/>
    <w:rsid w:val="009D6580"/>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D6580"/>
    <w:pPr>
      <w:ind w:left="708"/>
    </w:pPr>
  </w:style>
  <w:style w:type="character" w:styleId="PlaceholderText">
    <w:name w:val="Placeholder Text"/>
    <w:uiPriority w:val="99"/>
    <w:semiHidden/>
    <w:rsid w:val="009D6580"/>
    <w:rPr>
      <w:rFonts w:cs="Times New Roman"/>
      <w:color w:val="808080"/>
    </w:rPr>
  </w:style>
  <w:style w:type="paragraph" w:customStyle="1" w:styleId="InstructionsText2">
    <w:name w:val="Instructions Text 2"/>
    <w:basedOn w:val="InstructionsText"/>
    <w:qFormat/>
    <w:rsid w:val="009D6580"/>
    <w:pPr>
      <w:numPr>
        <w:numId w:val="15"/>
      </w:numPr>
      <w:spacing w:after="240"/>
    </w:pPr>
  </w:style>
  <w:style w:type="character" w:customStyle="1" w:styleId="Instructionsberschrift3Char">
    <w:name w:val="Instructions Überschrift 3 Char"/>
    <w:locked/>
    <w:rsid w:val="009D6580"/>
    <w:rPr>
      <w:rFonts w:ascii="Verdana" w:hAnsi="Verdana" w:cs="Arial"/>
      <w:b/>
      <w:bCs/>
      <w:sz w:val="26"/>
      <w:szCs w:val="26"/>
      <w:u w:val="single"/>
      <w:lang w:val="sl-SI" w:eastAsia="en-US" w:bidi="ar-SA"/>
    </w:rPr>
  </w:style>
  <w:style w:type="paragraph" w:customStyle="1" w:styleId="CM4">
    <w:name w:val="CM4"/>
    <w:basedOn w:val="Normal"/>
    <w:next w:val="Normal"/>
    <w:uiPriority w:val="99"/>
    <w:rsid w:val="009D658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D658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D6580"/>
    <w:rPr>
      <w:rFonts w:ascii="Tahoma" w:eastAsia="Arial" w:hAnsi="Tahoma" w:cs="Times New Roman"/>
      <w:kern w:val="0"/>
      <w:sz w:val="16"/>
      <w:szCs w:val="16"/>
      <w:lang w:val="sl-SI" w:eastAsia="x-none"/>
      <w14:ligatures w14:val="none"/>
    </w:rPr>
  </w:style>
  <w:style w:type="paragraph" w:customStyle="1" w:styleId="Titrearticle">
    <w:name w:val="Titre article"/>
    <w:basedOn w:val="Normal"/>
    <w:next w:val="Normal"/>
    <w:rsid w:val="009D658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D6580"/>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D658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D6580"/>
    <w:rPr>
      <w:rFonts w:cs="Times New Roman"/>
      <w:sz w:val="24"/>
      <w:szCs w:val="24"/>
      <w:lang w:eastAsia="de-DE"/>
    </w:rPr>
  </w:style>
  <w:style w:type="paragraph" w:customStyle="1" w:styleId="NumPar1">
    <w:name w:val="NumPar 1"/>
    <w:basedOn w:val="Normal"/>
    <w:next w:val="Normal"/>
    <w:link w:val="NumPar1Char"/>
    <w:uiPriority w:val="99"/>
    <w:rsid w:val="009D6580"/>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D6580"/>
    <w:rPr>
      <w:rFonts w:cs="Times New Roman"/>
      <w:sz w:val="24"/>
      <w:szCs w:val="24"/>
    </w:rPr>
  </w:style>
  <w:style w:type="paragraph" w:customStyle="1" w:styleId="Point1letter">
    <w:name w:val="Point 1 (letter)"/>
    <w:basedOn w:val="Normal"/>
    <w:link w:val="Point1letterChar"/>
    <w:uiPriority w:val="99"/>
    <w:rsid w:val="009D6580"/>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D6580"/>
    <w:pPr>
      <w:numPr>
        <w:numId w:val="6"/>
      </w:numPr>
    </w:pPr>
  </w:style>
  <w:style w:type="numbering" w:customStyle="1" w:styleId="Formatvorlage3">
    <w:name w:val="Formatvorlage3"/>
    <w:uiPriority w:val="99"/>
    <w:rsid w:val="009D6580"/>
    <w:pPr>
      <w:numPr>
        <w:numId w:val="16"/>
      </w:numPr>
    </w:pPr>
  </w:style>
  <w:style w:type="numbering" w:customStyle="1" w:styleId="Formatvorlage1">
    <w:name w:val="Formatvorlage1"/>
    <w:uiPriority w:val="99"/>
    <w:rsid w:val="009D6580"/>
    <w:pPr>
      <w:numPr>
        <w:numId w:val="5"/>
      </w:numPr>
    </w:pPr>
  </w:style>
  <w:style w:type="numbering" w:customStyle="1" w:styleId="Formatvorlage4">
    <w:name w:val="Formatvorlage4"/>
    <w:uiPriority w:val="99"/>
    <w:rsid w:val="009D6580"/>
    <w:pPr>
      <w:numPr>
        <w:numId w:val="18"/>
      </w:numPr>
    </w:pPr>
  </w:style>
  <w:style w:type="paragraph" w:customStyle="1" w:styleId="ListParagraph1">
    <w:name w:val="List Paragraph1"/>
    <w:basedOn w:val="Normal"/>
    <w:uiPriority w:val="99"/>
    <w:qFormat/>
    <w:rsid w:val="009D6580"/>
    <w:pPr>
      <w:ind w:left="708"/>
    </w:pPr>
  </w:style>
  <w:style w:type="paragraph" w:customStyle="1" w:styleId="Anfhrungszeichen1">
    <w:name w:val="Anführungszeichen1"/>
    <w:basedOn w:val="Normal"/>
    <w:next w:val="Normal"/>
    <w:link w:val="AnfhrungszeichenZchn"/>
    <w:uiPriority w:val="29"/>
    <w:semiHidden/>
    <w:rsid w:val="009D6580"/>
    <w:rPr>
      <w:i/>
      <w:iCs/>
      <w:color w:val="000000"/>
    </w:rPr>
  </w:style>
  <w:style w:type="character" w:customStyle="1" w:styleId="AnfhrungszeichenZchn">
    <w:name w:val="Anführungszeichen Zchn"/>
    <w:link w:val="Anfhrungszeichen1"/>
    <w:uiPriority w:val="29"/>
    <w:semiHidden/>
    <w:rsid w:val="009D658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D658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D6580"/>
    <w:pPr>
      <w:ind w:left="708"/>
    </w:pPr>
  </w:style>
  <w:style w:type="character" w:customStyle="1" w:styleId="Platzhaltertext1">
    <w:name w:val="Platzhaltertext1"/>
    <w:uiPriority w:val="99"/>
    <w:semiHidden/>
    <w:rsid w:val="009D6580"/>
    <w:rPr>
      <w:color w:val="808080"/>
    </w:rPr>
  </w:style>
  <w:style w:type="paragraph" w:customStyle="1" w:styleId="Default">
    <w:name w:val="Default"/>
    <w:rsid w:val="009D658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D6580"/>
    <w:rPr>
      <w:rFonts w:ascii="EU Albertina" w:hAnsi="EU Albertina" w:cs="Times New Roman"/>
      <w:color w:val="auto"/>
    </w:rPr>
  </w:style>
  <w:style w:type="paragraph" w:customStyle="1" w:styleId="CM3">
    <w:name w:val="CM3"/>
    <w:basedOn w:val="Default"/>
    <w:next w:val="Default"/>
    <w:uiPriority w:val="99"/>
    <w:rsid w:val="009D6580"/>
    <w:rPr>
      <w:rFonts w:ascii="EU Albertina" w:hAnsi="EU Albertina" w:cs="Times New Roman"/>
      <w:color w:val="auto"/>
    </w:rPr>
  </w:style>
  <w:style w:type="paragraph" w:styleId="NormalWeb">
    <w:name w:val="Normal (Web)"/>
    <w:basedOn w:val="Normal"/>
    <w:uiPriority w:val="99"/>
    <w:unhideWhenUsed/>
    <w:rsid w:val="009D658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D6580"/>
    <w:rPr>
      <w:i/>
      <w:iCs/>
    </w:rPr>
  </w:style>
  <w:style w:type="paragraph" w:customStyle="1" w:styleId="TableMainHeading">
    <w:name w:val="TableMainHeading"/>
    <w:basedOn w:val="Normal"/>
    <w:next w:val="Normal"/>
    <w:uiPriority w:val="99"/>
    <w:rsid w:val="009D6580"/>
    <w:pPr>
      <w:jc w:val="left"/>
    </w:pPr>
    <w:rPr>
      <w:rFonts w:ascii="Segoe UI" w:hAnsi="Segoe UI"/>
      <w:sz w:val="22"/>
      <w:szCs w:val="20"/>
    </w:rPr>
  </w:style>
  <w:style w:type="paragraph" w:customStyle="1" w:styleId="body">
    <w:name w:val="body"/>
    <w:qFormat/>
    <w:rsid w:val="009D658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D6580"/>
    <w:pPr>
      <w:spacing w:before="480"/>
    </w:pPr>
    <w:rPr>
      <w:rFonts w:ascii="Times New Roman" w:hAnsi="Times New Roman"/>
      <w:sz w:val="24"/>
    </w:rPr>
  </w:style>
  <w:style w:type="paragraph" w:customStyle="1" w:styleId="Fait">
    <w:name w:val="Fait à"/>
    <w:basedOn w:val="Normal"/>
    <w:next w:val="Normal"/>
    <w:rsid w:val="009D6580"/>
    <w:pPr>
      <w:keepNext/>
      <w:spacing w:after="0"/>
    </w:pPr>
    <w:rPr>
      <w:rFonts w:ascii="Times New Roman" w:hAnsi="Times New Roman"/>
      <w:sz w:val="24"/>
    </w:rPr>
  </w:style>
  <w:style w:type="paragraph" w:customStyle="1" w:styleId="Numberedtilelevel1">
    <w:name w:val="Numbered tile level 1"/>
    <w:basedOn w:val="Titlelevel1"/>
    <w:qFormat/>
    <w:rsid w:val="009D6580"/>
    <w:pPr>
      <w:numPr>
        <w:numId w:val="25"/>
      </w:numPr>
    </w:pPr>
  </w:style>
  <w:style w:type="paragraph" w:customStyle="1" w:styleId="Numberedtitlelevel2">
    <w:name w:val="Numbered title level 2"/>
    <w:basedOn w:val="Titlelevel2"/>
    <w:next w:val="body"/>
    <w:qFormat/>
    <w:rsid w:val="009D6580"/>
    <w:pPr>
      <w:numPr>
        <w:ilvl w:val="1"/>
        <w:numId w:val="25"/>
      </w:numPr>
    </w:pPr>
  </w:style>
  <w:style w:type="paragraph" w:customStyle="1" w:styleId="Titlelevel2">
    <w:name w:val="Title level 2"/>
    <w:qFormat/>
    <w:rsid w:val="009D6580"/>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D658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D658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D6580"/>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D658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D6580"/>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D6580"/>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D6580"/>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D6580"/>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D6580"/>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D658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D658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D6580"/>
    <w:pPr>
      <w:numPr>
        <w:numId w:val="21"/>
      </w:numPr>
    </w:pPr>
    <w:rPr>
      <w:szCs w:val="22"/>
    </w:rPr>
  </w:style>
  <w:style w:type="paragraph" w:customStyle="1" w:styleId="bullet2">
    <w:name w:val="bullet 2"/>
    <w:basedOn w:val="body"/>
    <w:qFormat/>
    <w:rsid w:val="009D6580"/>
    <w:pPr>
      <w:numPr>
        <w:numId w:val="20"/>
      </w:numPr>
    </w:pPr>
    <w:rPr>
      <w:szCs w:val="22"/>
    </w:rPr>
  </w:style>
  <w:style w:type="paragraph" w:customStyle="1" w:styleId="Numberedtitlelevel3">
    <w:name w:val="Numbered title level 3"/>
    <w:basedOn w:val="Titlelevel3"/>
    <w:next w:val="body"/>
    <w:qFormat/>
    <w:rsid w:val="009D6580"/>
    <w:pPr>
      <w:numPr>
        <w:ilvl w:val="2"/>
        <w:numId w:val="25"/>
      </w:numPr>
    </w:pPr>
  </w:style>
  <w:style w:type="table" w:styleId="LightShading">
    <w:name w:val="Light Shading"/>
    <w:basedOn w:val="TableNormal"/>
    <w:uiPriority w:val="60"/>
    <w:rsid w:val="009D658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D6580"/>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D6580"/>
  </w:style>
  <w:style w:type="paragraph" w:customStyle="1" w:styleId="Numberedtitlelevel4">
    <w:name w:val="Numbered title level 4"/>
    <w:basedOn w:val="Titlelevel4"/>
    <w:qFormat/>
    <w:rsid w:val="009D6580"/>
    <w:pPr>
      <w:numPr>
        <w:numId w:val="22"/>
      </w:numPr>
    </w:pPr>
  </w:style>
  <w:style w:type="paragraph" w:styleId="Title">
    <w:name w:val="Title"/>
    <w:basedOn w:val="Normal"/>
    <w:next w:val="Normal"/>
    <w:link w:val="TitleChar"/>
    <w:qFormat/>
    <w:rsid w:val="009D6580"/>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D6580"/>
    <w:rPr>
      <w:rFonts w:asciiTheme="majorHAnsi" w:eastAsiaTheme="majorEastAsia" w:hAnsiTheme="majorHAnsi" w:cstheme="majorBidi"/>
      <w:color w:val="44546A" w:themeColor="text2"/>
      <w:spacing w:val="5"/>
      <w:kern w:val="28"/>
      <w:sz w:val="52"/>
      <w:szCs w:val="52"/>
      <w:lang w:val="sl-SI"/>
      <w14:ligatures w14:val="none"/>
    </w:rPr>
  </w:style>
  <w:style w:type="paragraph" w:styleId="Subtitle">
    <w:name w:val="Subtitle"/>
    <w:next w:val="Normal"/>
    <w:link w:val="SubtitleChar"/>
    <w:autoRedefine/>
    <w:uiPriority w:val="11"/>
    <w:qFormat/>
    <w:rsid w:val="009D6580"/>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D6580"/>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D6580"/>
    <w:rPr>
      <w:b/>
      <w:bCs/>
      <w:smallCaps/>
      <w:spacing w:val="5"/>
    </w:rPr>
  </w:style>
  <w:style w:type="character" w:customStyle="1" w:styleId="Highlighttext">
    <w:name w:val="Highlight text"/>
    <w:basedOn w:val="DefaultParagraphFont"/>
    <w:uiPriority w:val="1"/>
    <w:semiHidden/>
    <w:qFormat/>
    <w:rsid w:val="009D6580"/>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D6580"/>
    <w:rPr>
      <w:bCs/>
      <w:lang w:eastAsia="en-GB"/>
    </w:rPr>
  </w:style>
  <w:style w:type="paragraph" w:styleId="ListBullet">
    <w:name w:val="List Bullet"/>
    <w:basedOn w:val="Normal"/>
    <w:semiHidden/>
    <w:qFormat/>
    <w:rsid w:val="009D6580"/>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D6580"/>
    <w:pPr>
      <w:numPr>
        <w:numId w:val="26"/>
      </w:numPr>
    </w:pPr>
  </w:style>
  <w:style w:type="character" w:customStyle="1" w:styleId="Marker">
    <w:name w:val="Marker"/>
    <w:rsid w:val="009D6580"/>
    <w:rPr>
      <w:color w:val="0000FF"/>
      <w:shd w:val="clear" w:color="auto" w:fill="auto"/>
    </w:rPr>
  </w:style>
  <w:style w:type="character" w:customStyle="1" w:styleId="Marker2">
    <w:name w:val="Marker2"/>
    <w:rsid w:val="009D6580"/>
    <w:rPr>
      <w:color w:val="FF0000"/>
      <w:shd w:val="clear" w:color="auto" w:fill="auto"/>
    </w:rPr>
  </w:style>
  <w:style w:type="paragraph" w:customStyle="1" w:styleId="Annexetitre">
    <w:name w:val="Annexe titre"/>
    <w:basedOn w:val="Normal"/>
    <w:next w:val="Normal"/>
    <w:rsid w:val="009D6580"/>
    <w:pPr>
      <w:jc w:val="center"/>
    </w:pPr>
    <w:rPr>
      <w:rFonts w:ascii="Times New Roman" w:hAnsi="Times New Roman"/>
      <w:b/>
      <w:sz w:val="24"/>
      <w:u w:val="single"/>
    </w:rPr>
  </w:style>
  <w:style w:type="paragraph" w:customStyle="1" w:styleId="Considrant">
    <w:name w:val="Considérant"/>
    <w:basedOn w:val="Normal"/>
    <w:rsid w:val="009D6580"/>
    <w:pPr>
      <w:numPr>
        <w:numId w:val="28"/>
      </w:numPr>
    </w:pPr>
    <w:rPr>
      <w:rFonts w:ascii="Times New Roman" w:hAnsi="Times New Roman"/>
      <w:sz w:val="24"/>
    </w:rPr>
  </w:style>
  <w:style w:type="paragraph" w:customStyle="1" w:styleId="Datedadoption">
    <w:name w:val="Date d'adoption"/>
    <w:basedOn w:val="Normal"/>
    <w:next w:val="Titreobjet"/>
    <w:rsid w:val="009D6580"/>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D6580"/>
    <w:pPr>
      <w:keepNext/>
    </w:pPr>
    <w:rPr>
      <w:rFonts w:ascii="Times New Roman" w:hAnsi="Times New Roman"/>
      <w:sz w:val="24"/>
    </w:rPr>
  </w:style>
  <w:style w:type="paragraph" w:customStyle="1" w:styleId="Institutionquisigne">
    <w:name w:val="Institution qui signe"/>
    <w:basedOn w:val="Normal"/>
    <w:next w:val="Personnequisigne"/>
    <w:rsid w:val="009D6580"/>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D6580"/>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D6580"/>
    <w:pPr>
      <w:spacing w:before="360" w:after="360"/>
      <w:jc w:val="center"/>
    </w:pPr>
    <w:rPr>
      <w:rFonts w:ascii="Times New Roman" w:hAnsi="Times New Roman"/>
      <w:b/>
      <w:sz w:val="24"/>
    </w:rPr>
  </w:style>
  <w:style w:type="paragraph" w:customStyle="1" w:styleId="Typedudocument">
    <w:name w:val="Type du document"/>
    <w:basedOn w:val="Normal"/>
    <w:next w:val="Titreobjet"/>
    <w:rsid w:val="009D6580"/>
    <w:pPr>
      <w:spacing w:before="360" w:after="0"/>
      <w:jc w:val="center"/>
    </w:pPr>
    <w:rPr>
      <w:rFonts w:ascii="Times New Roman" w:hAnsi="Times New Roman"/>
      <w:b/>
      <w:sz w:val="24"/>
    </w:rPr>
  </w:style>
  <w:style w:type="paragraph" w:customStyle="1" w:styleId="Pagedecouverture">
    <w:name w:val="Page de couverture"/>
    <w:basedOn w:val="Normal"/>
    <w:next w:val="Normal"/>
    <w:rsid w:val="009D6580"/>
    <w:rPr>
      <w:rFonts w:ascii="Times New Roman" w:hAnsi="Times New Roman"/>
      <w:sz w:val="24"/>
    </w:rPr>
  </w:style>
  <w:style w:type="paragraph" w:customStyle="1" w:styleId="Institutionquiagit">
    <w:name w:val="Institution qui agit"/>
    <w:basedOn w:val="Normal"/>
    <w:next w:val="Normal"/>
    <w:rsid w:val="009D6580"/>
    <w:pPr>
      <w:keepNext/>
      <w:spacing w:before="600"/>
    </w:pPr>
    <w:rPr>
      <w:rFonts w:ascii="Times New Roman" w:hAnsi="Times New Roman"/>
      <w:sz w:val="24"/>
    </w:rPr>
  </w:style>
  <w:style w:type="paragraph" w:styleId="Caption">
    <w:name w:val="caption"/>
    <w:basedOn w:val="Normal"/>
    <w:next w:val="Normal"/>
    <w:uiPriority w:val="35"/>
    <w:unhideWhenUsed/>
    <w:qFormat/>
    <w:rsid w:val="009D6580"/>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D6580"/>
    <w:pPr>
      <w:spacing w:before="60"/>
    </w:pPr>
    <w:rPr>
      <w:rFonts w:ascii="Segoe UI" w:hAnsi="Segoe UI"/>
      <w:sz w:val="15"/>
      <w:szCs w:val="20"/>
    </w:rPr>
  </w:style>
  <w:style w:type="paragraph" w:customStyle="1" w:styleId="CM11">
    <w:name w:val="CM1+1"/>
    <w:basedOn w:val="Default"/>
    <w:next w:val="Default"/>
    <w:uiPriority w:val="99"/>
    <w:rsid w:val="009D6580"/>
    <w:rPr>
      <w:rFonts w:ascii="EUAlbertina" w:eastAsiaTheme="minorEastAsia" w:hAnsi="EUAlbertina" w:cstheme="minorBidi"/>
      <w:color w:val="auto"/>
      <w:lang w:eastAsia="en-US"/>
    </w:rPr>
  </w:style>
  <w:style w:type="paragraph" w:customStyle="1" w:styleId="CM31">
    <w:name w:val="CM3+1"/>
    <w:basedOn w:val="Default"/>
    <w:next w:val="Default"/>
    <w:uiPriority w:val="99"/>
    <w:rsid w:val="009D6580"/>
    <w:rPr>
      <w:rFonts w:ascii="EUAlbertina" w:eastAsiaTheme="minorEastAsia" w:hAnsi="EUAlbertina" w:cstheme="minorBidi"/>
      <w:color w:val="auto"/>
      <w:lang w:eastAsia="en-US"/>
    </w:rPr>
  </w:style>
  <w:style w:type="paragraph" w:customStyle="1" w:styleId="CM13">
    <w:name w:val="CM1+3"/>
    <w:basedOn w:val="Default"/>
    <w:next w:val="Default"/>
    <w:uiPriority w:val="99"/>
    <w:rsid w:val="009D6580"/>
    <w:rPr>
      <w:rFonts w:ascii="EUAlbertina" w:eastAsiaTheme="minorEastAsia" w:hAnsi="EUAlbertina" w:cstheme="minorBidi"/>
      <w:color w:val="auto"/>
      <w:lang w:eastAsia="en-US"/>
    </w:rPr>
  </w:style>
  <w:style w:type="paragraph" w:customStyle="1" w:styleId="CM33">
    <w:name w:val="CM3+3"/>
    <w:basedOn w:val="Default"/>
    <w:next w:val="Default"/>
    <w:uiPriority w:val="99"/>
    <w:rsid w:val="009D658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D6580"/>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D6580"/>
    <w:rPr>
      <w:color w:val="605E5C"/>
      <w:shd w:val="clear" w:color="auto" w:fill="E1DFDD"/>
    </w:rPr>
  </w:style>
  <w:style w:type="character" w:styleId="Mention">
    <w:name w:val="Mention"/>
    <w:basedOn w:val="DefaultParagraphFont"/>
    <w:uiPriority w:val="99"/>
    <w:unhideWhenUsed/>
    <w:rsid w:val="009D6580"/>
    <w:rPr>
      <w:color w:val="2B579A"/>
      <w:shd w:val="clear" w:color="auto" w:fill="E1DFDD"/>
    </w:rPr>
  </w:style>
  <w:style w:type="paragraph" w:customStyle="1" w:styleId="pf0">
    <w:name w:val="pf0"/>
    <w:basedOn w:val="Normal"/>
    <w:rsid w:val="009D6580"/>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D6580"/>
  </w:style>
  <w:style w:type="character" w:customStyle="1" w:styleId="cf01">
    <w:name w:val="cf01"/>
    <w:basedOn w:val="DefaultParagraphFont"/>
    <w:rsid w:val="009D6580"/>
    <w:rPr>
      <w:rFonts w:ascii="Segoe UI" w:hAnsi="Segoe UI" w:cs="Segoe UI" w:hint="default"/>
      <w:sz w:val="18"/>
      <w:szCs w:val="18"/>
    </w:rPr>
  </w:style>
  <w:style w:type="paragraph" w:styleId="BodyText">
    <w:name w:val="Body Text"/>
    <w:basedOn w:val="Normal"/>
    <w:link w:val="BodyTextChar"/>
    <w:rsid w:val="009D6580"/>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D6580"/>
    <w:rPr>
      <w:rFonts w:ascii="Liberation Serif" w:eastAsia="SimSun" w:hAnsi="Liberation Serif" w:cs="Lucida Sans"/>
      <w:kern w:val="0"/>
      <w:sz w:val="24"/>
      <w:szCs w:val="24"/>
      <w:lang w:val="sl-SI" w:eastAsia="zh-CN" w:bidi="hi-IN"/>
      <w14:ligatures w14:val="none"/>
    </w:rPr>
  </w:style>
  <w:style w:type="paragraph" w:customStyle="1" w:styleId="Tabelleninhalt">
    <w:name w:val="Tabelleninhalt"/>
    <w:basedOn w:val="Normal"/>
    <w:qFormat/>
    <w:rsid w:val="009D6580"/>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D658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D6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79897F-E8CD-4BD2-ADD3-536B46CA34A1}">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9BF8FF7-243C-42F4-A5F7-CE24FF136911}">
  <ds:schemaRefs>
    <ds:schemaRef ds:uri="http://schemas.microsoft.com/sharepoint/v3/contenttype/forms"/>
  </ds:schemaRefs>
</ds:datastoreItem>
</file>

<file path=customXml/itemProps3.xml><?xml version="1.0" encoding="utf-8"?>
<ds:datastoreItem xmlns:ds="http://schemas.openxmlformats.org/officeDocument/2006/customXml" ds:itemID="{C2B6B371-EBD6-433F-8A51-EA301D551A7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4049</Words>
  <Characters>22273</Characters>
  <Application>Microsoft Office Word</Application>
  <DocSecurity>0</DocSecurity>
  <Lines>601</Lines>
  <Paragraphs>478</Paragraphs>
  <ScaleCrop>false</ScaleCrop>
  <Company/>
  <LinksUpToDate>false</LinksUpToDate>
  <CharactersWithSpaces>25844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2024-06-19T17:56:00Z</dcterms:created>
  <dcterms:modified xsi:type="dcterms:W3CDTF">2025-01-23T13:56:00Z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2025-01-23T13:56:53Z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9eaab90f-e1d8-4584-a189-8cc1e513fc56</vt:lpwstr>
  </property>
  <property fmtid="{D5CDD505-2E9C-101B-9397-08002B2CF9AE}" pid="9" name="MSIP_Label_6bd9ddd1-4d20-43f6-abfa-fc3c07406f94_ContentBits">
    <vt:lpwstr>0</vt:lpwstr>
  </property>
</Properties>
</file>